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0001A" w:rsidRPr="007E4FB5" w14:paraId="768E7D57" w14:textId="77777777" w:rsidTr="00012B13">
        <w:tc>
          <w:tcPr>
            <w:tcW w:w="4531" w:type="dxa"/>
            <w:shd w:val="clear" w:color="auto" w:fill="D9E2F3" w:themeFill="accent1" w:themeFillTint="33"/>
            <w:vAlign w:val="center"/>
          </w:tcPr>
          <w:p w14:paraId="57240504" w14:textId="77777777" w:rsidR="00D0001A" w:rsidRPr="007E4FB5" w:rsidRDefault="00D0001A" w:rsidP="00012B13">
            <w:pPr>
              <w:jc w:val="center"/>
              <w:rPr>
                <w:b/>
                <w:bCs/>
                <w:sz w:val="24"/>
                <w:szCs w:val="24"/>
              </w:rPr>
            </w:pPr>
            <w:r w:rsidRPr="007E4FB5">
              <w:rPr>
                <w:b/>
                <w:bCs/>
                <w:sz w:val="24"/>
                <w:szCs w:val="24"/>
              </w:rPr>
              <w:t>Première baccalauréat professionnel</w:t>
            </w:r>
          </w:p>
          <w:p w14:paraId="1BE14BCA" w14:textId="77777777" w:rsidR="00D0001A" w:rsidRPr="007E4FB5" w:rsidRDefault="00D0001A" w:rsidP="00012B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ASSP</w:t>
            </w:r>
          </w:p>
        </w:tc>
        <w:tc>
          <w:tcPr>
            <w:tcW w:w="4531" w:type="dxa"/>
            <w:shd w:val="clear" w:color="auto" w:fill="D9E2F3" w:themeFill="accent1" w:themeFillTint="33"/>
            <w:vAlign w:val="center"/>
          </w:tcPr>
          <w:p w14:paraId="2D2535FD" w14:textId="77777777" w:rsidR="00D0001A" w:rsidRPr="007E4FB5" w:rsidRDefault="00D0001A" w:rsidP="00012B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É</w:t>
            </w:r>
            <w:r w:rsidRPr="007E4FB5">
              <w:rPr>
                <w:b/>
                <w:bCs/>
                <w:sz w:val="24"/>
                <w:szCs w:val="24"/>
              </w:rPr>
              <w:t>conomie – Gestion</w:t>
            </w:r>
          </w:p>
          <w:p w14:paraId="0794E7D5" w14:textId="1D19B9D2" w:rsidR="00D0001A" w:rsidRPr="007E4FB5" w:rsidRDefault="00D0001A" w:rsidP="00012B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DOSSIER</w:t>
            </w:r>
            <w:r w:rsidRPr="007E4FB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7615C3">
              <w:rPr>
                <w:b/>
                <w:bCs/>
                <w:sz w:val="24"/>
                <w:szCs w:val="24"/>
              </w:rPr>
              <w:t xml:space="preserve"> - Application</w:t>
            </w:r>
          </w:p>
        </w:tc>
      </w:tr>
      <w:tr w:rsidR="00D0001A" w14:paraId="1063E2C3" w14:textId="77777777" w:rsidTr="00012B13">
        <w:tc>
          <w:tcPr>
            <w:tcW w:w="9062" w:type="dxa"/>
            <w:gridSpan w:val="2"/>
          </w:tcPr>
          <w:p w14:paraId="536B5DD4" w14:textId="77777777" w:rsidR="00D0001A" w:rsidRPr="00BF1A91" w:rsidRDefault="00D0001A" w:rsidP="00012B13">
            <w:pPr>
              <w:rPr>
                <w:b/>
                <w:bCs/>
              </w:rPr>
            </w:pPr>
            <w:r w:rsidRPr="00BF1A91">
              <w:rPr>
                <w:b/>
                <w:bCs/>
              </w:rPr>
              <w:t>Question : comment l’entreprise peut-elle s’adapter à son environnement ?</w:t>
            </w:r>
          </w:p>
          <w:p w14:paraId="58FB6528" w14:textId="77777777" w:rsidR="00D0001A" w:rsidRDefault="00D0001A" w:rsidP="00D0001A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Présenter les principaux éléments de l’environnement de l’entreprise.</w:t>
            </w:r>
          </w:p>
          <w:p w14:paraId="3F6492E3" w14:textId="77777777" w:rsidR="00D0001A" w:rsidRDefault="00D0001A" w:rsidP="00D0001A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Expliquer une décision soit pour exploiter une opportunité, soit pour contrer une menace de son environnement.</w:t>
            </w:r>
          </w:p>
        </w:tc>
      </w:tr>
    </w:tbl>
    <w:p w14:paraId="15755EFC" w14:textId="461C66D2" w:rsidR="00222D94" w:rsidRPr="00222D94" w:rsidRDefault="00222D94" w:rsidP="00222D94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Arial"/>
          <w:b/>
          <w:bCs/>
          <w:kern w:val="36"/>
          <w:sz w:val="24"/>
          <w:szCs w:val="24"/>
          <w:lang w:eastAsia="fr-FR"/>
        </w:rPr>
      </w:pPr>
      <w:r w:rsidRPr="00222D94">
        <w:rPr>
          <w:rFonts w:eastAsia="Times New Roman" w:cs="Arial"/>
          <w:b/>
          <w:bCs/>
          <w:kern w:val="36"/>
          <w:sz w:val="24"/>
          <w:szCs w:val="24"/>
          <w:lang w:eastAsia="fr-FR"/>
        </w:rPr>
        <w:t>Contexte professionnel</w:t>
      </w:r>
    </w:p>
    <w:p w14:paraId="46EC06FF" w14:textId="29C4E885" w:rsidR="00222D94" w:rsidRDefault="00222D94" w:rsidP="00E7737F">
      <w:p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</w:rPr>
      </w:pPr>
      <w:r>
        <w:rPr>
          <w:rFonts w:eastAsia="Times New Roman" w:cs="Arial"/>
          <w:kern w:val="36"/>
          <w:lang w:eastAsia="fr-FR"/>
        </w:rPr>
        <w:t>Vous effectuez une période de formation au sein de la maison médicale de la Source située à Colmar. Ce cabinet accueille quatre médecins généralistes, trois kinésithérapeutes, deux sage-femme et un ostéopathe et désormais un cardiologue. Depuis deux ans, la structure s’est dotée d’une plateforme de rendez-vous en ligne, la solution Maïa et une réflexion est actuellement menée pour développer chez les médecins, des téléconsultations. Votre tutrice souhaite vous sensibiliser à ces nouvelles pratiques et a réuni un ensemble documentaire</w:t>
      </w:r>
      <w:r w:rsidR="00457E81">
        <w:rPr>
          <w:rFonts w:eastAsia="Times New Roman" w:cs="Arial"/>
          <w:kern w:val="36"/>
          <w:lang w:eastAsia="fr-FR"/>
        </w:rPr>
        <w:t xml:space="preserve"> (</w:t>
      </w:r>
      <w:r w:rsidR="00457E81" w:rsidRPr="00457E81">
        <w:rPr>
          <w:rFonts w:eastAsia="Times New Roman" w:cs="Arial"/>
          <w:b/>
          <w:bCs/>
          <w:color w:val="FF0000"/>
          <w:kern w:val="36"/>
          <w:lang w:eastAsia="fr-FR"/>
        </w:rPr>
        <w:t>DOCUMENTS 1 à 3</w:t>
      </w:r>
      <w:r w:rsidR="00457E81">
        <w:rPr>
          <w:rFonts w:eastAsia="Times New Roman" w:cs="Arial"/>
          <w:kern w:val="36"/>
          <w:lang w:eastAsia="fr-FR"/>
        </w:rPr>
        <w:t>)</w:t>
      </w:r>
      <w:r>
        <w:rPr>
          <w:rFonts w:eastAsia="Times New Roman" w:cs="Arial"/>
          <w:kern w:val="36"/>
          <w:lang w:eastAsia="fr-FR"/>
        </w:rPr>
        <w:t>. Elle vous questionne sur le sujet</w:t>
      </w:r>
      <w:r w:rsidR="00457E81">
        <w:rPr>
          <w:rFonts w:eastAsia="Times New Roman" w:cs="Arial"/>
          <w:kern w:val="36"/>
          <w:lang w:eastAsia="fr-FR"/>
        </w:rPr>
        <w:t>.</w:t>
      </w:r>
    </w:p>
    <w:p w14:paraId="4F750B3C" w14:textId="5B3B5AAF" w:rsidR="002F592A" w:rsidRPr="002F592A" w:rsidRDefault="002F592A" w:rsidP="002F592A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Arial"/>
          <w:b/>
          <w:bCs/>
          <w:kern w:val="36"/>
          <w:lang w:eastAsia="fr-FR"/>
        </w:rPr>
      </w:pPr>
      <w:r w:rsidRPr="002F592A">
        <w:rPr>
          <w:rFonts w:eastAsia="Times New Roman" w:cs="Arial"/>
          <w:b/>
          <w:bCs/>
          <w:kern w:val="36"/>
          <w:lang w:eastAsia="fr-FR"/>
        </w:rPr>
        <w:t>ANALYSE DOCUMENTAIRE</w:t>
      </w:r>
    </w:p>
    <w:p w14:paraId="478E0DF4" w14:textId="429B9EAE" w:rsidR="00222D94" w:rsidRPr="002F592A" w:rsidRDefault="00222D94" w:rsidP="002F592A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</w:rPr>
      </w:pPr>
      <w:r w:rsidRPr="002F592A">
        <w:rPr>
          <w:rFonts w:eastAsia="Times New Roman" w:cs="Arial"/>
          <w:kern w:val="36"/>
          <w:lang w:eastAsia="fr-FR"/>
        </w:rPr>
        <w:t xml:space="preserve">Qu’entend-on par </w:t>
      </w:r>
      <w:r w:rsidR="00D0001A">
        <w:rPr>
          <w:rFonts w:eastAsia="Times New Roman" w:cs="Arial"/>
          <w:kern w:val="36"/>
          <w:lang w:eastAsia="fr-FR"/>
        </w:rPr>
        <w:t>E</w:t>
      </w:r>
      <w:r w:rsidRPr="002F592A">
        <w:rPr>
          <w:rFonts w:eastAsia="Times New Roman" w:cs="Arial"/>
          <w:kern w:val="36"/>
          <w:lang w:eastAsia="fr-FR"/>
        </w:rPr>
        <w:t>-santé ?</w:t>
      </w:r>
    </w:p>
    <w:p w14:paraId="3BF9A184" w14:textId="59C5E000" w:rsidR="00244A22" w:rsidRDefault="00244A22" w:rsidP="00222D94">
      <w:p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</w:rPr>
      </w:pPr>
    </w:p>
    <w:p w14:paraId="172F47DA" w14:textId="77777777" w:rsidR="002F592A" w:rsidRDefault="002F592A" w:rsidP="00222D94">
      <w:p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</w:rPr>
      </w:pPr>
    </w:p>
    <w:p w14:paraId="6E62ED1B" w14:textId="55BE7E4D" w:rsidR="00222D94" w:rsidRPr="002F592A" w:rsidRDefault="00222D94" w:rsidP="002F592A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</w:rPr>
      </w:pPr>
      <w:r w:rsidRPr="002F592A">
        <w:rPr>
          <w:rFonts w:eastAsia="Times New Roman" w:cs="Arial"/>
          <w:kern w:val="36"/>
          <w:lang w:eastAsia="fr-FR"/>
        </w:rPr>
        <w:t>Quels sont les acteurs qui sont concernés par cette pratique ?</w:t>
      </w:r>
    </w:p>
    <w:p w14:paraId="7C8C6CC1" w14:textId="0F12D873" w:rsidR="00244A22" w:rsidRDefault="00244A22" w:rsidP="00222D94">
      <w:p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</w:rPr>
      </w:pPr>
    </w:p>
    <w:p w14:paraId="61066454" w14:textId="77777777" w:rsidR="002F592A" w:rsidRDefault="002F592A" w:rsidP="00222D94">
      <w:p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</w:rPr>
      </w:pPr>
    </w:p>
    <w:p w14:paraId="2DE1104D" w14:textId="7A28D717" w:rsidR="00222D94" w:rsidRPr="002F592A" w:rsidRDefault="00222D94" w:rsidP="002F592A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</w:rPr>
      </w:pPr>
      <w:r w:rsidRPr="002F592A">
        <w:rPr>
          <w:rFonts w:eastAsia="Times New Roman" w:cs="Arial"/>
          <w:kern w:val="36"/>
          <w:lang w:eastAsia="fr-FR"/>
        </w:rPr>
        <w:t>Quel agent économique a permis le développement de ces pratiques ?</w:t>
      </w:r>
    </w:p>
    <w:p w14:paraId="23FE69A7" w14:textId="77777777" w:rsidR="00244A22" w:rsidRDefault="00244A22" w:rsidP="00222D94">
      <w:p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</w:rPr>
      </w:pPr>
    </w:p>
    <w:p w14:paraId="7CF05AB4" w14:textId="78FBACBD" w:rsidR="00244A22" w:rsidRPr="002F592A" w:rsidRDefault="00222D94" w:rsidP="002F592A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</w:rPr>
      </w:pPr>
      <w:r w:rsidRPr="002F592A">
        <w:rPr>
          <w:rFonts w:eastAsia="Times New Roman" w:cs="Arial"/>
          <w:kern w:val="36"/>
          <w:lang w:eastAsia="fr-FR"/>
        </w:rPr>
        <w:t>Quel</w:t>
      </w:r>
      <w:r w:rsidR="00244A22" w:rsidRPr="002F592A">
        <w:rPr>
          <w:rFonts w:eastAsia="Times New Roman" w:cs="Arial"/>
          <w:kern w:val="36"/>
          <w:lang w:eastAsia="fr-FR"/>
        </w:rPr>
        <w:t>s sont les enjeux du développement de l’e-santé</w:t>
      </w:r>
      <w:r w:rsidR="00D0001A">
        <w:rPr>
          <w:rFonts w:eastAsia="Times New Roman" w:cs="Arial"/>
          <w:kern w:val="36"/>
          <w:lang w:eastAsia="fr-FR"/>
        </w:rPr>
        <w:t xml:space="preserve"> pour les acteurs concernés</w:t>
      </w:r>
      <w:r w:rsidR="00244A22" w:rsidRPr="002F592A">
        <w:rPr>
          <w:rFonts w:eastAsia="Times New Roman" w:cs="Arial"/>
          <w:kern w:val="36"/>
          <w:lang w:eastAsia="fr-FR"/>
        </w:rPr>
        <w:t> ?</w:t>
      </w:r>
    </w:p>
    <w:p w14:paraId="1251B2B1" w14:textId="4D43DF54" w:rsidR="00244A22" w:rsidRDefault="00244A22" w:rsidP="00222D94">
      <w:p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</w:rPr>
      </w:pPr>
    </w:p>
    <w:p w14:paraId="3FDB7A2C" w14:textId="61EACFF6" w:rsidR="002F592A" w:rsidRDefault="002F592A" w:rsidP="00222D94">
      <w:p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</w:rPr>
      </w:pPr>
    </w:p>
    <w:p w14:paraId="0838F261" w14:textId="77777777" w:rsidR="002F592A" w:rsidRDefault="002F592A" w:rsidP="00222D94">
      <w:p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</w:rPr>
      </w:pPr>
    </w:p>
    <w:p w14:paraId="63A87D75" w14:textId="4162C5B4" w:rsidR="002F592A" w:rsidRPr="002F592A" w:rsidRDefault="002F592A" w:rsidP="002F592A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</w:rPr>
      </w:pPr>
      <w:r w:rsidRPr="002F592A">
        <w:rPr>
          <w:rFonts w:eastAsia="Times New Roman" w:cs="Arial"/>
          <w:kern w:val="36"/>
          <w:lang w:eastAsia="fr-FR"/>
        </w:rPr>
        <w:t xml:space="preserve">Démontrez l’évolution de </w:t>
      </w:r>
      <w:r w:rsidR="00D0001A">
        <w:rPr>
          <w:rFonts w:eastAsia="Times New Roman" w:cs="Arial"/>
          <w:kern w:val="36"/>
          <w:lang w:eastAsia="fr-FR"/>
        </w:rPr>
        <w:t>ce marché.</w:t>
      </w:r>
    </w:p>
    <w:p w14:paraId="7F9DCC03" w14:textId="0BB716D5" w:rsidR="002F592A" w:rsidRDefault="002F592A" w:rsidP="00222D94">
      <w:p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</w:rPr>
      </w:pPr>
    </w:p>
    <w:p w14:paraId="09F3A793" w14:textId="355D3813" w:rsidR="002F592A" w:rsidRDefault="002F592A" w:rsidP="00222D94">
      <w:p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</w:rPr>
      </w:pPr>
    </w:p>
    <w:p w14:paraId="543D00DA" w14:textId="77777777" w:rsidR="00457E81" w:rsidRDefault="00457E81" w:rsidP="00222D94">
      <w:p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</w:rPr>
      </w:pPr>
    </w:p>
    <w:p w14:paraId="2FE40FA3" w14:textId="1530373E" w:rsidR="00244A22" w:rsidRPr="002F592A" w:rsidRDefault="00244A22" w:rsidP="002F592A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</w:rPr>
      </w:pPr>
      <w:r w:rsidRPr="002F592A">
        <w:rPr>
          <w:rFonts w:eastAsia="Times New Roman" w:cs="Arial"/>
          <w:kern w:val="36"/>
          <w:lang w:eastAsia="fr-FR"/>
        </w:rPr>
        <w:t xml:space="preserve">Quels freins doivent être </w:t>
      </w:r>
      <w:r w:rsidR="00D0001A">
        <w:rPr>
          <w:rFonts w:eastAsia="Times New Roman" w:cs="Arial"/>
          <w:kern w:val="36"/>
          <w:lang w:eastAsia="fr-FR"/>
        </w:rPr>
        <w:t>levés</w:t>
      </w:r>
      <w:r w:rsidRPr="002F592A">
        <w:rPr>
          <w:rFonts w:eastAsia="Times New Roman" w:cs="Arial"/>
          <w:kern w:val="36"/>
          <w:lang w:eastAsia="fr-FR"/>
        </w:rPr>
        <w:t xml:space="preserve"> afin de développer ces usages ?</w:t>
      </w:r>
    </w:p>
    <w:p w14:paraId="14152A2B" w14:textId="0218F7CF" w:rsidR="00222D94" w:rsidRDefault="00222D94" w:rsidP="00E7737F">
      <w:p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</w:rPr>
      </w:pPr>
    </w:p>
    <w:p w14:paraId="12E76A3D" w14:textId="52E355D1" w:rsidR="00457E81" w:rsidRDefault="00457E81" w:rsidP="00457E81">
      <w:p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</w:rPr>
      </w:pPr>
    </w:p>
    <w:p w14:paraId="7660117B" w14:textId="5E8BA4BA" w:rsidR="00457E81" w:rsidRDefault="00457E81" w:rsidP="00457E81">
      <w:p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kern w:val="36"/>
          <w:lang w:eastAsia="fr-FR"/>
        </w:rPr>
      </w:pPr>
    </w:p>
    <w:p w14:paraId="7C49C966" w14:textId="781E2C46" w:rsidR="00E7737F" w:rsidRPr="00244A22" w:rsidRDefault="00222D94" w:rsidP="00222D94">
      <w:pPr>
        <w:spacing w:after="0" w:line="240" w:lineRule="auto"/>
        <w:jc w:val="both"/>
        <w:outlineLvl w:val="0"/>
        <w:rPr>
          <w:rFonts w:eastAsia="Times New Roman" w:cs="Arial"/>
          <w:b/>
          <w:bCs/>
          <w:color w:val="FF0000"/>
          <w:kern w:val="36"/>
          <w:lang w:eastAsia="fr-FR"/>
        </w:rPr>
      </w:pPr>
      <w:r w:rsidRPr="00244A22">
        <w:rPr>
          <w:rFonts w:eastAsia="Times New Roman" w:cs="Arial"/>
          <w:b/>
          <w:bCs/>
          <w:color w:val="FF0000"/>
          <w:kern w:val="36"/>
          <w:lang w:eastAsia="fr-FR"/>
        </w:rPr>
        <w:lastRenderedPageBreak/>
        <w:t xml:space="preserve">DOCUMENT 1 - </w:t>
      </w:r>
      <w:r w:rsidR="00E7737F" w:rsidRPr="00E7737F">
        <w:rPr>
          <w:rFonts w:eastAsia="Times New Roman" w:cs="Arial"/>
          <w:b/>
          <w:bCs/>
          <w:color w:val="FF0000"/>
          <w:kern w:val="36"/>
          <w:lang w:eastAsia="fr-FR"/>
        </w:rPr>
        <w:t>E-santé, entre opportunité</w:t>
      </w:r>
      <w:r w:rsidR="0058136E">
        <w:rPr>
          <w:rFonts w:eastAsia="Times New Roman" w:cs="Arial"/>
          <w:b/>
          <w:bCs/>
          <w:color w:val="FF0000"/>
          <w:kern w:val="36"/>
          <w:lang w:eastAsia="fr-FR"/>
        </w:rPr>
        <w:t>s</w:t>
      </w:r>
      <w:r w:rsidR="00E7737F" w:rsidRPr="00E7737F">
        <w:rPr>
          <w:rFonts w:eastAsia="Times New Roman" w:cs="Arial"/>
          <w:b/>
          <w:bCs/>
          <w:color w:val="FF0000"/>
          <w:kern w:val="36"/>
          <w:lang w:eastAsia="fr-FR"/>
        </w:rPr>
        <w:t xml:space="preserve"> et vigilance </w:t>
      </w:r>
    </w:p>
    <w:p w14:paraId="58EF8E4A" w14:textId="77777777" w:rsidR="00222D94" w:rsidRPr="00E7737F" w:rsidRDefault="00222D94" w:rsidP="00222D94">
      <w:pPr>
        <w:spacing w:after="0" w:line="240" w:lineRule="auto"/>
        <w:jc w:val="both"/>
        <w:outlineLvl w:val="0"/>
        <w:rPr>
          <w:rFonts w:eastAsia="Times New Roman" w:cs="Arial"/>
          <w:kern w:val="36"/>
          <w:lang w:eastAsia="fr-FR"/>
        </w:rPr>
      </w:pPr>
    </w:p>
    <w:p w14:paraId="658EB0E5" w14:textId="010A4F0E" w:rsidR="00E7737F" w:rsidRPr="00222D94" w:rsidRDefault="00E7737F" w:rsidP="00222D94">
      <w:pPr>
        <w:pStyle w:val="Titre2"/>
        <w:spacing w:before="0"/>
        <w:jc w:val="both"/>
        <w:rPr>
          <w:rFonts w:ascii="Arial" w:hAnsi="Arial" w:cs="Arial"/>
          <w:color w:val="auto"/>
          <w:sz w:val="22"/>
          <w:szCs w:val="22"/>
        </w:rPr>
      </w:pPr>
      <w:r w:rsidRPr="00222D94">
        <w:rPr>
          <w:rStyle w:val="lev"/>
          <w:rFonts w:ascii="Arial" w:hAnsi="Arial" w:cs="Arial"/>
          <w:b w:val="0"/>
          <w:bCs w:val="0"/>
          <w:color w:val="auto"/>
          <w:sz w:val="22"/>
          <w:szCs w:val="22"/>
        </w:rPr>
        <w:t xml:space="preserve">La </w:t>
      </w:r>
      <w:hyperlink r:id="rId5" w:history="1">
        <w:r w:rsidRPr="00222D94">
          <w:rPr>
            <w:rStyle w:val="lev"/>
            <w:rFonts w:ascii="Arial" w:hAnsi="Arial" w:cs="Arial"/>
            <w:b w:val="0"/>
            <w:bCs w:val="0"/>
            <w:color w:val="auto"/>
            <w:sz w:val="22"/>
            <w:szCs w:val="22"/>
          </w:rPr>
          <w:t>digitalisation</w:t>
        </w:r>
      </w:hyperlink>
      <w:r w:rsidRPr="00222D94">
        <w:rPr>
          <w:rStyle w:val="lev"/>
          <w:rFonts w:ascii="Arial" w:hAnsi="Arial" w:cs="Arial"/>
          <w:b w:val="0"/>
          <w:bCs w:val="0"/>
          <w:color w:val="auto"/>
          <w:sz w:val="22"/>
          <w:szCs w:val="22"/>
        </w:rPr>
        <w:t xml:space="preserve"> à l’œuvre depuis plusieurs années a dû en partie attendre </w:t>
      </w:r>
      <w:hyperlink r:id="rId6" w:history="1">
        <w:r w:rsidRPr="00222D94">
          <w:rPr>
            <w:rStyle w:val="lev"/>
            <w:rFonts w:ascii="Arial" w:hAnsi="Arial" w:cs="Arial"/>
            <w:b w:val="0"/>
            <w:bCs w:val="0"/>
            <w:color w:val="auto"/>
            <w:sz w:val="22"/>
            <w:szCs w:val="22"/>
          </w:rPr>
          <w:t>la crise sanitaire</w:t>
        </w:r>
      </w:hyperlink>
      <w:r w:rsidRPr="00222D94">
        <w:rPr>
          <w:rStyle w:val="lev"/>
          <w:rFonts w:ascii="Arial" w:hAnsi="Arial" w:cs="Arial"/>
          <w:b w:val="0"/>
          <w:bCs w:val="0"/>
          <w:color w:val="auto"/>
          <w:sz w:val="22"/>
          <w:szCs w:val="22"/>
        </w:rPr>
        <w:t xml:space="preserve"> pour que les populations adoptent pleinement les </w:t>
      </w:r>
      <w:hyperlink r:id="rId7" w:history="1">
        <w:r w:rsidRPr="00222D94">
          <w:rPr>
            <w:rStyle w:val="lev"/>
            <w:rFonts w:ascii="Arial" w:hAnsi="Arial" w:cs="Arial"/>
            <w:b w:val="0"/>
            <w:bCs w:val="0"/>
            <w:color w:val="auto"/>
            <w:sz w:val="22"/>
            <w:szCs w:val="22"/>
          </w:rPr>
          <w:t>services numériques</w:t>
        </w:r>
      </w:hyperlink>
      <w:r w:rsidRPr="00222D94">
        <w:rPr>
          <w:rStyle w:val="lev"/>
          <w:rFonts w:ascii="Arial" w:hAnsi="Arial" w:cs="Arial"/>
          <w:b w:val="0"/>
          <w:bCs w:val="0"/>
          <w:color w:val="auto"/>
          <w:sz w:val="22"/>
          <w:szCs w:val="22"/>
        </w:rPr>
        <w:t xml:space="preserve"> dans leur parcours de </w:t>
      </w:r>
      <w:hyperlink r:id="rId8" w:history="1">
        <w:r w:rsidRPr="00222D94">
          <w:rPr>
            <w:rStyle w:val="lev"/>
            <w:rFonts w:ascii="Arial" w:hAnsi="Arial" w:cs="Arial"/>
            <w:b w:val="0"/>
            <w:bCs w:val="0"/>
            <w:color w:val="auto"/>
            <w:sz w:val="22"/>
            <w:szCs w:val="22"/>
          </w:rPr>
          <w:t>santé</w:t>
        </w:r>
      </w:hyperlink>
      <w:r w:rsidRPr="00222D94">
        <w:rPr>
          <w:rStyle w:val="lev"/>
          <w:rFonts w:ascii="Arial" w:hAnsi="Arial" w:cs="Arial"/>
          <w:b w:val="0"/>
          <w:bCs w:val="0"/>
          <w:color w:val="auto"/>
          <w:sz w:val="22"/>
          <w:szCs w:val="22"/>
        </w:rPr>
        <w:t>. Nous assistons ainsi à l’émergence spectaculaire de la notion d’« </w:t>
      </w:r>
      <w:hyperlink r:id="rId9" w:history="1">
        <w:r w:rsidRPr="00222D94">
          <w:rPr>
            <w:rStyle w:val="lev"/>
            <w:rFonts w:ascii="Arial" w:hAnsi="Arial" w:cs="Arial"/>
            <w:b w:val="0"/>
            <w:bCs w:val="0"/>
            <w:color w:val="auto"/>
            <w:sz w:val="22"/>
            <w:szCs w:val="22"/>
          </w:rPr>
          <w:t>e-santé </w:t>
        </w:r>
      </w:hyperlink>
      <w:r w:rsidRPr="00222D94">
        <w:rPr>
          <w:rStyle w:val="lev"/>
          <w:rFonts w:ascii="Arial" w:hAnsi="Arial" w:cs="Arial"/>
          <w:b w:val="0"/>
          <w:bCs w:val="0"/>
          <w:color w:val="auto"/>
          <w:sz w:val="22"/>
          <w:szCs w:val="22"/>
        </w:rPr>
        <w:t xml:space="preserve">», celle-ci recoupant un large champ de définition. Si l’émergence de l’e-santé est à bien des égards </w:t>
      </w:r>
      <w:hyperlink r:id="rId10" w:history="1">
        <w:r w:rsidRPr="00222D94">
          <w:rPr>
            <w:rStyle w:val="lev"/>
            <w:rFonts w:ascii="Arial" w:hAnsi="Arial" w:cs="Arial"/>
            <w:b w:val="0"/>
            <w:bCs w:val="0"/>
            <w:color w:val="auto"/>
            <w:sz w:val="22"/>
            <w:szCs w:val="22"/>
          </w:rPr>
          <w:t>source d’opportunités</w:t>
        </w:r>
      </w:hyperlink>
      <w:r w:rsidRPr="00222D94">
        <w:rPr>
          <w:rStyle w:val="lev"/>
          <w:rFonts w:ascii="Arial" w:hAnsi="Arial" w:cs="Arial"/>
          <w:b w:val="0"/>
          <w:bCs w:val="0"/>
          <w:color w:val="auto"/>
          <w:sz w:val="22"/>
          <w:szCs w:val="22"/>
        </w:rPr>
        <w:t xml:space="preserve"> tant pour les patients que pour les professionnels et assurances de santé, sa place grandissante pose des questions</w:t>
      </w:r>
      <w:r w:rsidR="0085573D" w:rsidRPr="00222D94">
        <w:rPr>
          <w:rStyle w:val="lev"/>
          <w:rFonts w:ascii="Arial" w:hAnsi="Arial" w:cs="Arial"/>
          <w:b w:val="0"/>
          <w:bCs w:val="0"/>
          <w:sz w:val="22"/>
          <w:szCs w:val="22"/>
        </w:rPr>
        <w:t>.</w:t>
      </w:r>
    </w:p>
    <w:p w14:paraId="51118B45" w14:textId="77777777" w:rsidR="00244A22" w:rsidRDefault="00244A22" w:rsidP="00222D94">
      <w:pPr>
        <w:pStyle w:val="NormalWeb"/>
        <w:spacing w:before="0" w:beforeAutospacing="0" w:after="0" w:afterAutospacing="0"/>
        <w:jc w:val="both"/>
        <w:rPr>
          <w:rStyle w:val="lev"/>
          <w:rFonts w:ascii="Arial" w:hAnsi="Arial" w:cs="Arial"/>
          <w:b w:val="0"/>
          <w:bCs w:val="0"/>
          <w:sz w:val="22"/>
          <w:szCs w:val="22"/>
        </w:rPr>
      </w:pPr>
    </w:p>
    <w:p w14:paraId="59D6F81E" w14:textId="5700B44B" w:rsidR="00E7737F" w:rsidRPr="00222D94" w:rsidRDefault="00E7737F" w:rsidP="00222D9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22D94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La période de pandémie a constitué </w:t>
      </w:r>
      <w:hyperlink r:id="rId11" w:history="1">
        <w:r w:rsidRPr="00222D94">
          <w:rPr>
            <w:rStyle w:val="lev"/>
            <w:rFonts w:ascii="Arial" w:hAnsi="Arial" w:cs="Arial"/>
            <w:b w:val="0"/>
            <w:bCs w:val="0"/>
            <w:sz w:val="22"/>
            <w:szCs w:val="22"/>
          </w:rPr>
          <w:t>un formidable accélérateur</w:t>
        </w:r>
      </w:hyperlink>
      <w:r w:rsidRPr="00222D94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de la </w:t>
      </w:r>
      <w:hyperlink r:id="rId12" w:history="1">
        <w:r w:rsidRPr="00222D94">
          <w:rPr>
            <w:rStyle w:val="lev"/>
            <w:rFonts w:ascii="Arial" w:hAnsi="Arial" w:cs="Arial"/>
            <w:b w:val="0"/>
            <w:bCs w:val="0"/>
            <w:sz w:val="22"/>
            <w:szCs w:val="22"/>
          </w:rPr>
          <w:t>téléconsultation</w:t>
        </w:r>
      </w:hyperlink>
      <w:r w:rsidRPr="00222D94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 , les chiffres de l’Assurance maladie, en avril 2020, enregistraient un pic de </w:t>
      </w:r>
      <w:hyperlink r:id="rId13" w:history="1">
        <w:r w:rsidRPr="00222D94">
          <w:rPr>
            <w:rStyle w:val="lev"/>
            <w:rFonts w:ascii="Arial" w:hAnsi="Arial" w:cs="Arial"/>
            <w:b w:val="0"/>
            <w:bCs w:val="0"/>
            <w:sz w:val="22"/>
            <w:szCs w:val="22"/>
          </w:rPr>
          <w:t>4,52 millions de téléconsultations</w:t>
        </w:r>
      </w:hyperlink>
      <w:r w:rsidRPr="00222D94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effectuées, contre 25 000 au mois de décembre 2019.</w:t>
      </w:r>
      <w:r w:rsidR="0085573D" w:rsidRPr="00222D94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5573D" w:rsidRPr="00222D94">
        <w:rPr>
          <w:rStyle w:val="Accentuation"/>
          <w:rFonts w:ascii="Arial" w:hAnsi="Arial" w:cs="Arial"/>
          <w:i w:val="0"/>
          <w:iCs w:val="0"/>
          <w:sz w:val="22"/>
          <w:szCs w:val="22"/>
        </w:rPr>
        <w:t>L</w:t>
      </w:r>
      <w:r w:rsidRPr="00222D94">
        <w:rPr>
          <w:rStyle w:val="Accentuation"/>
          <w:rFonts w:ascii="Arial" w:hAnsi="Arial" w:cs="Arial"/>
          <w:i w:val="0"/>
          <w:iCs w:val="0"/>
          <w:sz w:val="22"/>
          <w:szCs w:val="22"/>
        </w:rPr>
        <w:t>a téléconsultation n’est pas la seule pratique d’e-santé à s’être démocratisée à la faveur de la crise. Avec la campagne de vaccination, les plateformes de rendez-vous médicaux en ligne se sont totalement installées dans la pratique des Français.</w:t>
      </w:r>
      <w:r w:rsidR="0085573D" w:rsidRPr="00222D94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222D94">
        <w:rPr>
          <w:rFonts w:ascii="Arial" w:hAnsi="Arial" w:cs="Arial"/>
          <w:sz w:val="22"/>
          <w:szCs w:val="22"/>
        </w:rPr>
        <w:t xml:space="preserve">Différents outils, sites et </w:t>
      </w:r>
      <w:hyperlink r:id="rId14" w:history="1">
        <w:r w:rsidRPr="00222D94">
          <w:rPr>
            <w:rStyle w:val="Lienhypertexte"/>
            <w:rFonts w:ascii="Arial" w:eastAsiaTheme="majorEastAsia" w:hAnsi="Arial" w:cs="Arial"/>
            <w:color w:val="auto"/>
            <w:sz w:val="22"/>
            <w:szCs w:val="22"/>
            <w:u w:val="none"/>
          </w:rPr>
          <w:t>applications numériques</w:t>
        </w:r>
      </w:hyperlink>
      <w:r w:rsidRPr="00222D94">
        <w:rPr>
          <w:rFonts w:ascii="Arial" w:hAnsi="Arial" w:cs="Arial"/>
          <w:sz w:val="22"/>
          <w:szCs w:val="22"/>
        </w:rPr>
        <w:t xml:space="preserve"> se sont imposés dans le paysag</w:t>
      </w:r>
      <w:r w:rsidR="0085573D" w:rsidRPr="00222D94">
        <w:rPr>
          <w:rFonts w:ascii="Arial" w:hAnsi="Arial" w:cs="Arial"/>
          <w:sz w:val="22"/>
          <w:szCs w:val="22"/>
        </w:rPr>
        <w:t>es tels que les applications « Tous anti-Covid » ou « Covid Tracker »</w:t>
      </w:r>
      <w:r w:rsidR="00222D94" w:rsidRPr="00222D94">
        <w:rPr>
          <w:rFonts w:ascii="Arial" w:hAnsi="Arial" w:cs="Arial"/>
          <w:sz w:val="22"/>
          <w:szCs w:val="22"/>
        </w:rPr>
        <w:t>.</w:t>
      </w:r>
    </w:p>
    <w:p w14:paraId="24291469" w14:textId="77777777" w:rsidR="00244A22" w:rsidRDefault="00244A22" w:rsidP="00222D9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E420C12" w14:textId="389563FA" w:rsidR="0085573D" w:rsidRDefault="0085573D" w:rsidP="00222D9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22D94">
        <w:rPr>
          <w:rFonts w:ascii="Arial" w:hAnsi="Arial" w:cs="Arial"/>
          <w:sz w:val="22"/>
          <w:szCs w:val="22"/>
        </w:rPr>
        <w:t>L’émergence de ces nouvelles solutions numérique</w:t>
      </w:r>
      <w:r w:rsidR="0058136E">
        <w:rPr>
          <w:rFonts w:ascii="Arial" w:hAnsi="Arial" w:cs="Arial"/>
          <w:sz w:val="22"/>
          <w:szCs w:val="22"/>
        </w:rPr>
        <w:t>s</w:t>
      </w:r>
      <w:r w:rsidRPr="00222D94">
        <w:rPr>
          <w:rFonts w:ascii="Arial" w:hAnsi="Arial" w:cs="Arial"/>
          <w:sz w:val="22"/>
          <w:szCs w:val="22"/>
        </w:rPr>
        <w:t xml:space="preserve"> est fortement marquée par l’implication financière des pouvoirs-publics :</w:t>
      </w:r>
    </w:p>
    <w:p w14:paraId="6B521E17" w14:textId="77777777" w:rsidR="00244A22" w:rsidRPr="00222D94" w:rsidRDefault="00244A22" w:rsidP="00222D9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3AB2D9D" w14:textId="49A5A4A6" w:rsidR="00F93A9A" w:rsidRPr="00244A22" w:rsidRDefault="00E7737F" w:rsidP="00222D94">
      <w:pPr>
        <w:pStyle w:val="Paragraphedeliste"/>
        <w:numPr>
          <w:ilvl w:val="0"/>
          <w:numId w:val="1"/>
        </w:numPr>
        <w:spacing w:after="0"/>
        <w:jc w:val="both"/>
      </w:pPr>
      <w:r w:rsidRPr="00222D94">
        <w:rPr>
          <w:rFonts w:cs="Arial"/>
        </w:rPr>
        <w:t xml:space="preserve">l’Etat, à travers le Ségur de la santé, </w:t>
      </w:r>
      <w:r w:rsidRPr="00244A22">
        <w:t>« a validé la place croissante du numérique en consacrant 1,4 milliards d’euros à la modernisation du système de soins et 600 millions pour le médico-social »</w:t>
      </w:r>
      <w:r w:rsidR="0085573D" w:rsidRPr="00244A22">
        <w:t>,</w:t>
      </w:r>
    </w:p>
    <w:p w14:paraId="217D2DEC" w14:textId="1B44AEB6" w:rsidR="00E7737F" w:rsidRPr="00222D94" w:rsidRDefault="00E7737F" w:rsidP="00222D94">
      <w:pPr>
        <w:pStyle w:val="Paragraphedeliste"/>
        <w:numPr>
          <w:ilvl w:val="0"/>
          <w:numId w:val="1"/>
        </w:numPr>
        <w:spacing w:after="0"/>
        <w:jc w:val="both"/>
        <w:rPr>
          <w:rFonts w:cs="Arial"/>
        </w:rPr>
      </w:pPr>
      <w:r w:rsidRPr="00222D94">
        <w:rPr>
          <w:rFonts w:cs="Arial"/>
        </w:rPr>
        <w:t>la Haute autorité de Santé (HAS) prévoie pour juillet 2022 la généralisation du remboursement de la télésurveillance médicale, en ce qui concerne quatre pathologies chroniques : diabète et insuffisances cardiaque, rénale et respiratoire.</w:t>
      </w:r>
    </w:p>
    <w:p w14:paraId="1D74DD00" w14:textId="5B517A3A" w:rsidR="00E7737F" w:rsidRPr="00222D94" w:rsidRDefault="00E7737F" w:rsidP="00222D94">
      <w:pPr>
        <w:pStyle w:val="Paragraphedeliste"/>
        <w:numPr>
          <w:ilvl w:val="0"/>
          <w:numId w:val="1"/>
        </w:numPr>
        <w:spacing w:after="0"/>
        <w:jc w:val="both"/>
        <w:rPr>
          <w:rFonts w:cs="Arial"/>
        </w:rPr>
      </w:pPr>
      <w:r w:rsidRPr="00222D94">
        <w:rPr>
          <w:rFonts w:cs="Arial"/>
        </w:rPr>
        <w:t xml:space="preserve">86 % des Français estiment que </w:t>
      </w:r>
      <w:r w:rsidRPr="00244A22">
        <w:t>« le développement des outils numériques dans le domaine de la santé est une bonne chose »</w:t>
      </w:r>
      <w:r w:rsidRPr="00222D94">
        <w:rPr>
          <w:rFonts w:cs="Arial"/>
        </w:rPr>
        <w:t xml:space="preserve"> d’après Laure Millet qui souligne ainsi la satisfaction des Français face à ces nouveaux usages.</w:t>
      </w:r>
    </w:p>
    <w:p w14:paraId="4FDB3D86" w14:textId="77777777" w:rsidR="00244A22" w:rsidRDefault="00244A22" w:rsidP="00222D94">
      <w:pPr>
        <w:spacing w:after="0"/>
        <w:jc w:val="both"/>
        <w:rPr>
          <w:rFonts w:cs="Arial"/>
        </w:rPr>
      </w:pPr>
    </w:p>
    <w:p w14:paraId="6083B567" w14:textId="21ADBE21" w:rsidR="00E7737F" w:rsidRPr="00E7737F" w:rsidRDefault="00244A22" w:rsidP="00222D94">
      <w:pPr>
        <w:spacing w:after="0"/>
        <w:jc w:val="both"/>
        <w:rPr>
          <w:rFonts w:cs="Arial"/>
        </w:rPr>
      </w:pPr>
      <w:r>
        <w:rPr>
          <w:rFonts w:cs="Arial"/>
        </w:rPr>
        <w:t>Les dispositifs de l’e-santé contribuent à</w:t>
      </w:r>
      <w:r w:rsidR="0085573D" w:rsidRPr="00222D94">
        <w:rPr>
          <w:rFonts w:cs="Arial"/>
        </w:rPr>
        <w:t xml:space="preserve"> f</w:t>
      </w:r>
      <w:r w:rsidR="00E7737F" w:rsidRPr="00E7737F">
        <w:rPr>
          <w:rFonts w:cs="Arial"/>
        </w:rPr>
        <w:t>aciliter l’accessibilité des soins dans les territoires peu dotés</w:t>
      </w:r>
      <w:r w:rsidR="0085573D" w:rsidRPr="00244A22">
        <w:rPr>
          <w:rFonts w:cs="Arial"/>
        </w:rPr>
        <w:t>, notamment dans les territoires où la désertification médicale est présente</w:t>
      </w:r>
      <w:r>
        <w:rPr>
          <w:rFonts w:cs="Arial"/>
        </w:rPr>
        <w:t xml:space="preserve">, ils constituent des outils </w:t>
      </w:r>
      <w:r w:rsidR="00E7737F" w:rsidRPr="00E7737F">
        <w:rPr>
          <w:rFonts w:cs="Arial"/>
        </w:rPr>
        <w:t>de prévention</w:t>
      </w:r>
      <w:r w:rsidR="0085573D" w:rsidRPr="00244A22">
        <w:rPr>
          <w:rFonts w:cs="Arial"/>
        </w:rPr>
        <w:t>,</w:t>
      </w:r>
      <w:r>
        <w:rPr>
          <w:rFonts w:cs="Arial"/>
        </w:rPr>
        <w:t xml:space="preserve"> capables d’</w:t>
      </w:r>
      <w:r w:rsidR="00222D94" w:rsidRPr="00244A22">
        <w:rPr>
          <w:rFonts w:cs="Arial"/>
        </w:rPr>
        <w:t>adapter</w:t>
      </w:r>
      <w:r w:rsidR="00E7737F" w:rsidRPr="00E7737F">
        <w:rPr>
          <w:rFonts w:cs="Arial"/>
        </w:rPr>
        <w:t xml:space="preserve"> la société au vieillissement</w:t>
      </w:r>
      <w:r>
        <w:rPr>
          <w:rFonts w:cs="Arial"/>
        </w:rPr>
        <w:t>, ils permettent enfin d’</w:t>
      </w:r>
      <w:r w:rsidR="00222D94" w:rsidRPr="00244A22">
        <w:rPr>
          <w:rFonts w:cs="Arial"/>
        </w:rPr>
        <w:t>accompagner</w:t>
      </w:r>
      <w:r w:rsidR="0085573D" w:rsidRPr="00244A22">
        <w:rPr>
          <w:rFonts w:cs="Arial"/>
        </w:rPr>
        <w:t xml:space="preserve"> des patients dans leur maladie chronique </w:t>
      </w:r>
      <w:r>
        <w:rPr>
          <w:rFonts w:cs="Arial"/>
        </w:rPr>
        <w:t>notamment par la prise en charge intégrale des téléconsultations.</w:t>
      </w:r>
    </w:p>
    <w:p w14:paraId="1D08CF0B" w14:textId="77777777" w:rsidR="00244A22" w:rsidRDefault="00244A22" w:rsidP="00244A22">
      <w:pPr>
        <w:spacing w:after="0"/>
        <w:jc w:val="both"/>
        <w:rPr>
          <w:rFonts w:cs="Arial"/>
        </w:rPr>
      </w:pPr>
    </w:p>
    <w:p w14:paraId="1DF5F589" w14:textId="3EC5B0F3" w:rsidR="00E7737F" w:rsidRPr="00222D94" w:rsidRDefault="00E7737F" w:rsidP="00244A22">
      <w:pPr>
        <w:spacing w:after="0"/>
        <w:jc w:val="both"/>
        <w:rPr>
          <w:rFonts w:cs="Arial"/>
        </w:rPr>
      </w:pPr>
      <w:r w:rsidRPr="00222D94">
        <w:rPr>
          <w:rFonts w:cs="Arial"/>
        </w:rPr>
        <w:t xml:space="preserve">Evidemment, toute avancée technologique faisant œuvre utile ne va pas sans créer de nouveaux risques. </w:t>
      </w:r>
      <w:r w:rsidR="0085573D" w:rsidRPr="00222D94">
        <w:rPr>
          <w:rFonts w:cs="Arial"/>
        </w:rPr>
        <w:t>Le premier risque est lié à la</w:t>
      </w:r>
      <w:r w:rsidRPr="00222D94">
        <w:rPr>
          <w:rFonts w:cs="Arial"/>
        </w:rPr>
        <w:t xml:space="preserve"> question de la fracture numérique : </w:t>
      </w:r>
      <w:r w:rsidRPr="00244A22">
        <w:t xml:space="preserve">pour </w:t>
      </w:r>
      <w:r w:rsidR="00681B1D">
        <w:t>une majorité</w:t>
      </w:r>
      <w:r w:rsidRPr="00244A22">
        <w:t xml:space="preserve"> de la population française, le développement des outils numériques risque d’éloigner les usagers du système de santé plutôt que de les en rapprocher.  </w:t>
      </w:r>
      <w:r w:rsidR="0085573D" w:rsidRPr="00222D94">
        <w:rPr>
          <w:rFonts w:cs="Arial"/>
        </w:rPr>
        <w:t>Il</w:t>
      </w:r>
      <w:r w:rsidRPr="00222D94">
        <w:rPr>
          <w:rFonts w:cs="Arial"/>
        </w:rPr>
        <w:t xml:space="preserve"> convient </w:t>
      </w:r>
      <w:r w:rsidR="0085573D" w:rsidRPr="00222D94">
        <w:rPr>
          <w:rFonts w:cs="Arial"/>
        </w:rPr>
        <w:t xml:space="preserve">donc </w:t>
      </w:r>
      <w:r w:rsidR="00222D94" w:rsidRPr="00222D94">
        <w:rPr>
          <w:rFonts w:cs="Arial"/>
        </w:rPr>
        <w:t>d’</w:t>
      </w:r>
      <w:r w:rsidRPr="00244A22">
        <w:t>accompagne</w:t>
      </w:r>
      <w:r w:rsidR="00222D94" w:rsidRPr="00244A22">
        <w:t>r</w:t>
      </w:r>
      <w:r w:rsidRPr="00244A22">
        <w:t xml:space="preserve"> </w:t>
      </w:r>
      <w:r w:rsidR="00222D94" w:rsidRPr="00244A22">
        <w:t>le</w:t>
      </w:r>
      <w:r w:rsidRPr="00244A22">
        <w:t>s citoyens dans la compréhension et l’usage de ces nouveaux outils</w:t>
      </w:r>
      <w:r w:rsidRPr="00222D94">
        <w:rPr>
          <w:rFonts w:cs="Arial"/>
        </w:rPr>
        <w:t xml:space="preserve">, notamment en consolidant </w:t>
      </w:r>
      <w:r w:rsidRPr="00244A22">
        <w:t>« une culture de la confiance pour éviter les peurs et favoriser l’appropriation de l’e-santé par un public large, pas uniquement jeune et connecté. »</w:t>
      </w:r>
    </w:p>
    <w:p w14:paraId="0D98E53F" w14:textId="6A658873" w:rsidR="00E7737F" w:rsidRPr="00244A22" w:rsidRDefault="0085573D" w:rsidP="00222D94">
      <w:pPr>
        <w:spacing w:after="0"/>
        <w:jc w:val="both"/>
      </w:pPr>
      <w:r w:rsidRPr="00222D94">
        <w:rPr>
          <w:rFonts w:cs="Arial"/>
        </w:rPr>
        <w:t xml:space="preserve">Deuxième point, </w:t>
      </w:r>
      <w:r w:rsidR="00E7737F" w:rsidRPr="00222D94">
        <w:rPr>
          <w:rFonts w:cs="Arial"/>
        </w:rPr>
        <w:t xml:space="preserve">la sécurisation des données : </w:t>
      </w:r>
      <w:r w:rsidR="00E7737F" w:rsidRPr="00244A22">
        <w:t xml:space="preserve">la maîtrise des données est devenue un enjeu stratégique pour les entreprises comme pour les Etats, d’autant plus dans une période d’extrême tension comme celle que nous connaissons actuellement. L’e-santé ne pourra se déployer pleinement qu’avec une sécurisation complète des données. </w:t>
      </w:r>
    </w:p>
    <w:p w14:paraId="3C4316D4" w14:textId="77777777" w:rsidR="00D0001A" w:rsidRPr="0085573D" w:rsidRDefault="00D0001A" w:rsidP="00E7737F">
      <w:pPr>
        <w:jc w:val="both"/>
        <w:rPr>
          <w:rStyle w:val="Accentuation"/>
          <w:rFonts w:cs="Arial"/>
          <w:i w:val="0"/>
          <w:iCs w:val="0"/>
        </w:rPr>
      </w:pPr>
    </w:p>
    <w:p w14:paraId="1D5A1610" w14:textId="10FAC9CA" w:rsidR="00E7737F" w:rsidRDefault="00D0001A" w:rsidP="00E7737F">
      <w:pPr>
        <w:jc w:val="both"/>
        <w:rPr>
          <w:rFonts w:cs="Arial"/>
        </w:rPr>
      </w:pPr>
      <w:r>
        <w:rPr>
          <w:rFonts w:cs="Arial"/>
        </w:rPr>
        <w:t xml:space="preserve">Source : </w:t>
      </w:r>
      <w:hyperlink r:id="rId15" w:history="1">
        <w:r w:rsidRPr="00174780">
          <w:rPr>
            <w:rStyle w:val="Lienhypertexte"/>
            <w:rFonts w:cs="Arial"/>
          </w:rPr>
          <w:t>https://www.lassuranceenmouvement.com</w:t>
        </w:r>
      </w:hyperlink>
      <w:r>
        <w:rPr>
          <w:rFonts w:cs="Arial"/>
        </w:rPr>
        <w:t xml:space="preserve"> 22/06/22 – Modifié par l’auteur</w:t>
      </w:r>
    </w:p>
    <w:p w14:paraId="001C00DC" w14:textId="43567DC4" w:rsidR="00D0001A" w:rsidRDefault="00D0001A" w:rsidP="00E7737F">
      <w:pPr>
        <w:jc w:val="both"/>
        <w:rPr>
          <w:rFonts w:cs="Arial"/>
        </w:rPr>
      </w:pPr>
    </w:p>
    <w:p w14:paraId="6823A87C" w14:textId="3B03868C" w:rsidR="00457E81" w:rsidRDefault="00457E81" w:rsidP="00E7737F">
      <w:pPr>
        <w:jc w:val="both"/>
        <w:rPr>
          <w:rFonts w:cs="Arial"/>
        </w:rPr>
      </w:pPr>
    </w:p>
    <w:p w14:paraId="114D791C" w14:textId="77777777" w:rsidR="00457E81" w:rsidRDefault="00457E81" w:rsidP="00E7737F">
      <w:pPr>
        <w:jc w:val="both"/>
        <w:rPr>
          <w:rFonts w:cs="Arial"/>
        </w:rPr>
      </w:pPr>
    </w:p>
    <w:p w14:paraId="045ED63D" w14:textId="454DA765" w:rsidR="00D0001A" w:rsidRDefault="00D0001A" w:rsidP="00E7737F">
      <w:pPr>
        <w:jc w:val="both"/>
        <w:rPr>
          <w:rFonts w:cs="Arial"/>
        </w:rPr>
      </w:pPr>
    </w:p>
    <w:p w14:paraId="4F1BA13C" w14:textId="720568F0" w:rsidR="00D0001A" w:rsidRDefault="00D0001A" w:rsidP="00E7737F">
      <w:pPr>
        <w:jc w:val="both"/>
        <w:rPr>
          <w:rFonts w:cs="Arial"/>
        </w:rPr>
      </w:pPr>
    </w:p>
    <w:p w14:paraId="5497BFD7" w14:textId="06557C8A" w:rsidR="00D0001A" w:rsidRPr="00D0001A" w:rsidRDefault="00D0001A" w:rsidP="00D0001A">
      <w:pPr>
        <w:spacing w:after="0" w:line="240" w:lineRule="auto"/>
        <w:jc w:val="both"/>
        <w:outlineLvl w:val="0"/>
        <w:rPr>
          <w:rFonts w:eastAsia="Times New Roman" w:cs="Arial"/>
          <w:b/>
          <w:bCs/>
          <w:color w:val="FF0000"/>
          <w:kern w:val="36"/>
          <w:lang w:eastAsia="fr-FR"/>
        </w:rPr>
      </w:pPr>
      <w:r w:rsidRPr="00D0001A">
        <w:rPr>
          <w:rFonts w:eastAsia="Times New Roman" w:cs="Arial"/>
          <w:b/>
          <w:bCs/>
          <w:color w:val="FF0000"/>
          <w:kern w:val="36"/>
          <w:lang w:eastAsia="fr-FR"/>
        </w:rPr>
        <w:lastRenderedPageBreak/>
        <w:t>DOCUMENT 2 – INFOGRAPHIE</w:t>
      </w:r>
    </w:p>
    <w:p w14:paraId="172FD8AD" w14:textId="6BCAC57C" w:rsidR="00D0001A" w:rsidRDefault="00D0001A" w:rsidP="00E7737F">
      <w:pPr>
        <w:jc w:val="both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D5E882" wp14:editId="71BE6BC2">
            <wp:simplePos x="0" y="0"/>
            <wp:positionH relativeFrom="column">
              <wp:posOffset>1175385</wp:posOffset>
            </wp:positionH>
            <wp:positionV relativeFrom="paragraph">
              <wp:posOffset>42428</wp:posOffset>
            </wp:positionV>
            <wp:extent cx="3399549" cy="3399549"/>
            <wp:effectExtent l="0" t="0" r="0" b="0"/>
            <wp:wrapNone/>
            <wp:docPr id="1" name="Image 1" descr="Graphique: E-santé : un marché gigantesque | Stat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que: E-santé : un marché gigantesque | Statist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549" cy="339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F1A3F" w14:textId="3EF33840" w:rsidR="00D0001A" w:rsidRDefault="00D0001A" w:rsidP="00E7737F">
      <w:pPr>
        <w:jc w:val="both"/>
        <w:rPr>
          <w:rFonts w:cs="Arial"/>
        </w:rPr>
      </w:pPr>
    </w:p>
    <w:p w14:paraId="6D4D27B4" w14:textId="218E714C" w:rsidR="00D0001A" w:rsidRDefault="00D0001A" w:rsidP="00E7737F">
      <w:pPr>
        <w:jc w:val="both"/>
        <w:rPr>
          <w:rFonts w:cs="Arial"/>
        </w:rPr>
      </w:pPr>
    </w:p>
    <w:p w14:paraId="47F50D47" w14:textId="58AE6641" w:rsidR="00D0001A" w:rsidRDefault="00D0001A" w:rsidP="00E7737F">
      <w:pPr>
        <w:jc w:val="both"/>
        <w:rPr>
          <w:rFonts w:cs="Arial"/>
        </w:rPr>
      </w:pPr>
    </w:p>
    <w:p w14:paraId="0E04C1F7" w14:textId="6791D0AF" w:rsidR="00D0001A" w:rsidRDefault="00D0001A" w:rsidP="00E7737F">
      <w:pPr>
        <w:jc w:val="both"/>
        <w:rPr>
          <w:rFonts w:cs="Arial"/>
        </w:rPr>
      </w:pPr>
    </w:p>
    <w:p w14:paraId="5FFFAD01" w14:textId="6E9CDAA0" w:rsidR="00D0001A" w:rsidRDefault="00D0001A" w:rsidP="00E7737F">
      <w:pPr>
        <w:jc w:val="both"/>
        <w:rPr>
          <w:rFonts w:cs="Arial"/>
        </w:rPr>
      </w:pPr>
    </w:p>
    <w:p w14:paraId="127C0F1C" w14:textId="3C5C56B3" w:rsidR="00D0001A" w:rsidRDefault="00D0001A" w:rsidP="00E7737F">
      <w:pPr>
        <w:jc w:val="both"/>
        <w:rPr>
          <w:rFonts w:cs="Arial"/>
        </w:rPr>
      </w:pPr>
    </w:p>
    <w:p w14:paraId="3D76ED57" w14:textId="28CADFFA" w:rsidR="00D0001A" w:rsidRDefault="00D0001A" w:rsidP="00E7737F">
      <w:pPr>
        <w:jc w:val="both"/>
        <w:rPr>
          <w:rFonts w:cs="Arial"/>
        </w:rPr>
      </w:pPr>
    </w:p>
    <w:p w14:paraId="2C4E8192" w14:textId="5ACD98A0" w:rsidR="00D0001A" w:rsidRDefault="00D0001A" w:rsidP="00E7737F">
      <w:pPr>
        <w:jc w:val="both"/>
        <w:rPr>
          <w:rFonts w:cs="Arial"/>
        </w:rPr>
      </w:pPr>
    </w:p>
    <w:p w14:paraId="1C65231F" w14:textId="774B2A89" w:rsidR="00D0001A" w:rsidRDefault="00D0001A" w:rsidP="00E7737F">
      <w:pPr>
        <w:jc w:val="both"/>
        <w:rPr>
          <w:rFonts w:cs="Arial"/>
        </w:rPr>
      </w:pPr>
    </w:p>
    <w:p w14:paraId="16471D06" w14:textId="06176617" w:rsidR="00D0001A" w:rsidRDefault="00D0001A" w:rsidP="00E7737F">
      <w:pPr>
        <w:jc w:val="both"/>
        <w:rPr>
          <w:rFonts w:cs="Arial"/>
        </w:rPr>
      </w:pPr>
    </w:p>
    <w:p w14:paraId="192D291D" w14:textId="76CCA5CC" w:rsidR="00D0001A" w:rsidRDefault="00D0001A" w:rsidP="00E7737F">
      <w:pPr>
        <w:jc w:val="both"/>
        <w:rPr>
          <w:rFonts w:cs="Arial"/>
        </w:rPr>
      </w:pPr>
    </w:p>
    <w:p w14:paraId="2D617380" w14:textId="0AC62E35" w:rsidR="00D0001A" w:rsidRDefault="00D0001A" w:rsidP="00E7737F">
      <w:pPr>
        <w:jc w:val="both"/>
        <w:rPr>
          <w:rFonts w:cs="Arial"/>
        </w:rPr>
      </w:pPr>
    </w:p>
    <w:p w14:paraId="167C981C" w14:textId="6214BE81" w:rsidR="00D0001A" w:rsidRPr="00457E81" w:rsidRDefault="00D0001A" w:rsidP="00E7737F">
      <w:pPr>
        <w:jc w:val="both"/>
        <w:rPr>
          <w:rFonts w:cs="Arial"/>
          <w:b/>
          <w:bCs/>
          <w:color w:val="FF0000"/>
        </w:rPr>
      </w:pPr>
      <w:r w:rsidRPr="00457E81">
        <w:rPr>
          <w:rFonts w:cs="Arial"/>
          <w:b/>
          <w:bCs/>
          <w:color w:val="FF0000"/>
        </w:rPr>
        <w:t>DOCUMENT 3 – E-santé – Questionnements</w:t>
      </w:r>
    </w:p>
    <w:p w14:paraId="7751F120" w14:textId="50DD579E" w:rsidR="00D0001A" w:rsidRDefault="002B0918" w:rsidP="00E7737F">
      <w:pPr>
        <w:jc w:val="both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DD7B9E" wp14:editId="00C4BCFA">
            <wp:simplePos x="0" y="0"/>
            <wp:positionH relativeFrom="column">
              <wp:posOffset>512978</wp:posOffset>
            </wp:positionH>
            <wp:positionV relativeFrom="paragraph">
              <wp:posOffset>89551</wp:posOffset>
            </wp:positionV>
            <wp:extent cx="4606249" cy="5277668"/>
            <wp:effectExtent l="0" t="0" r="444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6249" cy="5277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A613A" w14:textId="160AF9FB" w:rsidR="00D0001A" w:rsidRDefault="00D0001A" w:rsidP="00E7737F">
      <w:pPr>
        <w:jc w:val="both"/>
        <w:rPr>
          <w:rFonts w:cs="Arial"/>
        </w:rPr>
      </w:pPr>
    </w:p>
    <w:p w14:paraId="2C6C672F" w14:textId="174F8DD9" w:rsidR="00D0001A" w:rsidRPr="0085573D" w:rsidRDefault="00D0001A" w:rsidP="00E7737F">
      <w:pPr>
        <w:jc w:val="both"/>
        <w:rPr>
          <w:rFonts w:cs="Arial"/>
        </w:rPr>
      </w:pPr>
    </w:p>
    <w:sectPr w:rsidR="00D0001A" w:rsidRPr="0085573D" w:rsidSect="00457E8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96E"/>
    <w:multiLevelType w:val="hybridMultilevel"/>
    <w:tmpl w:val="B832D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39DB"/>
    <w:multiLevelType w:val="hybridMultilevel"/>
    <w:tmpl w:val="9918A6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5DA5"/>
    <w:multiLevelType w:val="multilevel"/>
    <w:tmpl w:val="7488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31F83"/>
    <w:multiLevelType w:val="hybridMultilevel"/>
    <w:tmpl w:val="5EAE9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22C77"/>
    <w:multiLevelType w:val="hybridMultilevel"/>
    <w:tmpl w:val="0EE499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A11F20"/>
    <w:multiLevelType w:val="multilevel"/>
    <w:tmpl w:val="7CA8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5134018">
    <w:abstractNumId w:val="0"/>
  </w:num>
  <w:num w:numId="2" w16cid:durableId="201481487">
    <w:abstractNumId w:val="2"/>
  </w:num>
  <w:num w:numId="3" w16cid:durableId="1995909906">
    <w:abstractNumId w:val="5"/>
  </w:num>
  <w:num w:numId="4" w16cid:durableId="1116366161">
    <w:abstractNumId w:val="3"/>
  </w:num>
  <w:num w:numId="5" w16cid:durableId="946039836">
    <w:abstractNumId w:val="1"/>
  </w:num>
  <w:num w:numId="6" w16cid:durableId="177307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7F"/>
    <w:rsid w:val="00222D94"/>
    <w:rsid w:val="00244A22"/>
    <w:rsid w:val="002B0918"/>
    <w:rsid w:val="002F592A"/>
    <w:rsid w:val="00457E81"/>
    <w:rsid w:val="0058136E"/>
    <w:rsid w:val="00681B1D"/>
    <w:rsid w:val="007615C3"/>
    <w:rsid w:val="0085573D"/>
    <w:rsid w:val="00D0001A"/>
    <w:rsid w:val="00E7737F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5DE2"/>
  <w15:chartTrackingRefBased/>
  <w15:docId w15:val="{248F01B8-B12D-44DF-8479-92A08528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77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773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73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737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773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E773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7737F"/>
    <w:rPr>
      <w:i/>
      <w:iCs/>
    </w:rPr>
  </w:style>
  <w:style w:type="character" w:styleId="Lienhypertexte">
    <w:name w:val="Hyperlink"/>
    <w:basedOn w:val="Policepardfaut"/>
    <w:uiPriority w:val="99"/>
    <w:unhideWhenUsed/>
    <w:rsid w:val="00E7737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7737F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E773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D00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D00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ssuranceenmouvement.com/category/societe/sanitaire/" TargetMode="External"/><Relationship Id="rId13" Type="http://schemas.openxmlformats.org/officeDocument/2006/relationships/hyperlink" Target="https://www.strategie.gouv.fr/infographies/crise-covid-essor-outils-numeriqu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ssuranceenmouvement.com/category/technologies/" TargetMode="External"/><Relationship Id="rId12" Type="http://schemas.openxmlformats.org/officeDocument/2006/relationships/hyperlink" Target="https://www.lassuranceenmouvement.com/2022/02/10/les-incroyables-opportunites-de-la-telesante-mais/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s://www.lassuranceenmouvement.com/?s=pand%C3%A9mie" TargetMode="External"/><Relationship Id="rId11" Type="http://schemas.openxmlformats.org/officeDocument/2006/relationships/hyperlink" Target="https://www.lassuranceenmouvement.com/2020/11/27/sante-la-crise-de-la-covid-19-a-accelere-les-usages-numeriques/" TargetMode="External"/><Relationship Id="rId5" Type="http://schemas.openxmlformats.org/officeDocument/2006/relationships/hyperlink" Target="https://www.lassuranceenmouvement.com/?s=digitalisation" TargetMode="External"/><Relationship Id="rId15" Type="http://schemas.openxmlformats.org/officeDocument/2006/relationships/hyperlink" Target="https://www.lassuranceenmouvement.com" TargetMode="External"/><Relationship Id="rId10" Type="http://schemas.openxmlformats.org/officeDocument/2006/relationships/hyperlink" Target="https://www.lassuranceenmouvement.com/2022/02/14/les-technologies-electroniques-au-service-de-la-sant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assuranceenmouvement.com/?s=esant%C3%A9" TargetMode="External"/><Relationship Id="rId14" Type="http://schemas.openxmlformats.org/officeDocument/2006/relationships/hyperlink" Target="https://www.lassuranceenmouvement.com/category/technologies/application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jsena</dc:creator>
  <cp:keywords/>
  <dc:description/>
  <cp:lastModifiedBy>jsena</cp:lastModifiedBy>
  <cp:revision>6</cp:revision>
  <dcterms:created xsi:type="dcterms:W3CDTF">2022-11-28T04:04:00Z</dcterms:created>
  <dcterms:modified xsi:type="dcterms:W3CDTF">2022-11-29T03:25:00Z</dcterms:modified>
</cp:coreProperties>
</file>