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0" w:type="dxa"/>
        <w:tblCellMar>
          <w:left w:w="10" w:type="dxa"/>
          <w:right w:w="10" w:type="dxa"/>
        </w:tblCellMar>
        <w:tblLook w:val="04A0" w:firstRow="1" w:lastRow="0" w:firstColumn="1" w:lastColumn="0" w:noHBand="0" w:noVBand="1"/>
      </w:tblPr>
      <w:tblGrid>
        <w:gridCol w:w="4530"/>
        <w:gridCol w:w="4530"/>
      </w:tblGrid>
      <w:tr w:rsidR="005652F5" w:rsidRPr="005652F5" w14:paraId="0460184A" w14:textId="77777777" w:rsidTr="00C5495B">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97EE78" w14:textId="77777777" w:rsidR="005652F5" w:rsidRPr="005652F5" w:rsidRDefault="005652F5" w:rsidP="00C5495B">
            <w:pPr>
              <w:spacing w:after="0" w:line="240" w:lineRule="auto"/>
              <w:jc w:val="center"/>
              <w:rPr>
                <w:rFonts w:ascii="Arial" w:eastAsia="Times New Roman" w:hAnsi="Arial" w:cs="Arial"/>
                <w:b/>
                <w:bCs/>
                <w:color w:val="006666"/>
                <w:lang w:eastAsia="fr-FR"/>
              </w:rPr>
            </w:pPr>
            <w:r w:rsidRPr="005652F5">
              <w:rPr>
                <w:rFonts w:ascii="Arial" w:eastAsia="Times New Roman" w:hAnsi="Arial" w:cs="Arial"/>
                <w:b/>
                <w:bCs/>
                <w:color w:val="006666"/>
                <w:lang w:eastAsia="fr-FR"/>
              </w:rPr>
              <w:t>Seconde baccalauréat professionnel</w:t>
            </w:r>
          </w:p>
          <w:p w14:paraId="6DA4613C" w14:textId="77777777" w:rsidR="005652F5" w:rsidRPr="005652F5" w:rsidRDefault="005652F5" w:rsidP="00C5495B">
            <w:pPr>
              <w:spacing w:after="0" w:line="240" w:lineRule="auto"/>
              <w:jc w:val="center"/>
              <w:rPr>
                <w:rFonts w:ascii="Arial" w:eastAsia="Times New Roman" w:hAnsi="Arial" w:cs="Arial"/>
                <w:b/>
                <w:bCs/>
                <w:color w:val="006666"/>
                <w:lang w:eastAsia="fr-FR"/>
              </w:rPr>
            </w:pPr>
            <w:r w:rsidRPr="005652F5">
              <w:rPr>
                <w:rFonts w:ascii="Arial" w:eastAsia="Times New Roman" w:hAnsi="Arial" w:cs="Arial"/>
                <w:b/>
                <w:bCs/>
                <w:color w:val="006666"/>
                <w:lang w:eastAsia="fr-FR"/>
              </w:rPr>
              <w:t>GATL</w:t>
            </w:r>
          </w:p>
        </w:tc>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332D5C" w14:textId="77777777" w:rsidR="005652F5" w:rsidRPr="005652F5" w:rsidRDefault="005652F5" w:rsidP="00C5495B">
            <w:pPr>
              <w:spacing w:after="0" w:line="240" w:lineRule="auto"/>
              <w:jc w:val="center"/>
              <w:rPr>
                <w:rFonts w:ascii="Arial" w:eastAsia="Times New Roman" w:hAnsi="Arial" w:cs="Arial"/>
                <w:b/>
                <w:bCs/>
                <w:color w:val="006666"/>
                <w:lang w:eastAsia="fr-FR"/>
              </w:rPr>
            </w:pPr>
            <w:r w:rsidRPr="005652F5">
              <w:rPr>
                <w:rFonts w:ascii="Arial" w:eastAsia="Times New Roman" w:hAnsi="Arial" w:cs="Arial"/>
                <w:b/>
                <w:bCs/>
                <w:color w:val="006666"/>
                <w:lang w:eastAsia="fr-FR"/>
              </w:rPr>
              <w:t>Point économique et juridique 2</w:t>
            </w:r>
          </w:p>
        </w:tc>
      </w:tr>
      <w:tr w:rsidR="005652F5" w:rsidRPr="005652F5" w14:paraId="13AFDBEF" w14:textId="77777777" w:rsidTr="00C5495B">
        <w:tblPrEx>
          <w:tblCellMar>
            <w:top w:w="0" w:type="dxa"/>
            <w:bottom w:w="0" w:type="dxa"/>
          </w:tblCellMar>
        </w:tblPrEx>
        <w:tc>
          <w:tcPr>
            <w:tcW w:w="9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077A4" w14:textId="77777777" w:rsidR="005652F5" w:rsidRPr="005652F5" w:rsidRDefault="005652F5" w:rsidP="00C5495B">
            <w:pPr>
              <w:spacing w:after="0" w:line="240" w:lineRule="auto"/>
              <w:jc w:val="both"/>
              <w:rPr>
                <w:rFonts w:ascii="Arial" w:eastAsia="Times New Roman" w:hAnsi="Arial" w:cs="Arial"/>
                <w:b/>
                <w:bCs/>
                <w:lang w:eastAsia="fr-FR"/>
              </w:rPr>
            </w:pPr>
            <w:r w:rsidRPr="005652F5">
              <w:rPr>
                <w:rFonts w:ascii="Arial" w:eastAsia="Times New Roman" w:hAnsi="Arial" w:cs="Arial"/>
                <w:b/>
                <w:bCs/>
                <w:lang w:eastAsia="fr-FR"/>
              </w:rPr>
              <w:t>Question : dans quel cadre juridique les acteurs inscrivent-ils leur activité ?</w:t>
            </w:r>
          </w:p>
          <w:p w14:paraId="424AC796" w14:textId="77777777" w:rsidR="005652F5" w:rsidRPr="005652F5" w:rsidRDefault="005652F5" w:rsidP="005652F5">
            <w:pPr>
              <w:numPr>
                <w:ilvl w:val="0"/>
                <w:numId w:val="17"/>
              </w:numPr>
              <w:suppressAutoHyphens/>
              <w:autoSpaceDN w:val="0"/>
              <w:spacing w:after="0" w:line="240" w:lineRule="auto"/>
              <w:jc w:val="both"/>
              <w:textAlignment w:val="baseline"/>
              <w:rPr>
                <w:rFonts w:ascii="Arial" w:eastAsia="Times New Roman" w:hAnsi="Arial" w:cs="Arial"/>
                <w:lang w:eastAsia="fr-FR"/>
              </w:rPr>
            </w:pPr>
            <w:r w:rsidRPr="005652F5">
              <w:rPr>
                <w:rFonts w:ascii="Arial" w:eastAsia="Times New Roman" w:hAnsi="Arial" w:cs="Arial"/>
                <w:lang w:eastAsia="fr-FR"/>
              </w:rPr>
              <w:t>Identifier les fonctions du droit et connaître les principales juridictions.</w:t>
            </w:r>
          </w:p>
          <w:p w14:paraId="49D7ACD1" w14:textId="77777777" w:rsidR="005652F5" w:rsidRPr="005652F5" w:rsidRDefault="005652F5" w:rsidP="005652F5">
            <w:pPr>
              <w:numPr>
                <w:ilvl w:val="0"/>
                <w:numId w:val="17"/>
              </w:numPr>
              <w:suppressAutoHyphens/>
              <w:autoSpaceDN w:val="0"/>
              <w:spacing w:after="0" w:line="240" w:lineRule="auto"/>
              <w:jc w:val="both"/>
              <w:textAlignment w:val="baseline"/>
              <w:rPr>
                <w:rFonts w:ascii="Arial" w:eastAsia="Times New Roman" w:hAnsi="Arial" w:cs="Arial"/>
                <w:lang w:eastAsia="fr-FR"/>
              </w:rPr>
            </w:pPr>
            <w:r w:rsidRPr="005652F5">
              <w:rPr>
                <w:rFonts w:ascii="Arial" w:eastAsia="Times New Roman" w:hAnsi="Arial" w:cs="Arial"/>
                <w:lang w:eastAsia="fr-FR"/>
              </w:rPr>
              <w:t>Situer un texte dans la hiérarchie des normes.</w:t>
            </w:r>
          </w:p>
          <w:p w14:paraId="720DBA45" w14:textId="77777777" w:rsidR="005652F5" w:rsidRPr="005652F5" w:rsidRDefault="005652F5" w:rsidP="005652F5">
            <w:pPr>
              <w:numPr>
                <w:ilvl w:val="0"/>
                <w:numId w:val="17"/>
              </w:numPr>
              <w:suppressAutoHyphens/>
              <w:autoSpaceDN w:val="0"/>
              <w:spacing w:after="0" w:line="240" w:lineRule="auto"/>
              <w:jc w:val="both"/>
              <w:textAlignment w:val="baseline"/>
              <w:rPr>
                <w:rFonts w:ascii="Arial" w:eastAsia="Times New Roman" w:hAnsi="Arial" w:cs="Arial"/>
                <w:lang w:eastAsia="fr-FR"/>
              </w:rPr>
            </w:pPr>
            <w:r w:rsidRPr="005652F5">
              <w:rPr>
                <w:rFonts w:ascii="Arial" w:eastAsia="Times New Roman" w:hAnsi="Arial" w:cs="Arial"/>
                <w:lang w:eastAsia="fr-FR"/>
              </w:rPr>
              <w:t>Identifier la source du droit dans une situation donnée.</w:t>
            </w:r>
          </w:p>
        </w:tc>
      </w:tr>
    </w:tbl>
    <w:p w14:paraId="3ADA5980" w14:textId="77777777" w:rsidR="00D341F6" w:rsidRDefault="00D341F6" w:rsidP="00313C15">
      <w:pPr>
        <w:spacing w:after="0"/>
        <w:rPr>
          <w:rFonts w:ascii="Arial" w:hAnsi="Arial" w:cs="Arial"/>
        </w:rPr>
      </w:pPr>
    </w:p>
    <w:p w14:paraId="65A848CF" w14:textId="5AE8D1EA" w:rsidR="00D341F6" w:rsidRPr="005652F5" w:rsidRDefault="00D341F6" w:rsidP="00D341F6">
      <w:pPr>
        <w:pStyle w:val="Paragraphedeliste"/>
        <w:numPr>
          <w:ilvl w:val="0"/>
          <w:numId w:val="13"/>
        </w:numPr>
        <w:spacing w:after="0"/>
        <w:rPr>
          <w:rFonts w:ascii="Arial" w:hAnsi="Arial" w:cs="Arial"/>
          <w:b/>
          <w:bCs/>
          <w:sz w:val="24"/>
          <w:szCs w:val="24"/>
          <w:u w:val="single"/>
        </w:rPr>
      </w:pPr>
      <w:r w:rsidRPr="005652F5">
        <w:rPr>
          <w:rFonts w:ascii="Arial" w:hAnsi="Arial" w:cs="Arial"/>
          <w:b/>
          <w:bCs/>
          <w:sz w:val="24"/>
          <w:szCs w:val="24"/>
          <w:u w:val="single"/>
        </w:rPr>
        <w:t xml:space="preserve">La France, </w:t>
      </w:r>
      <w:r w:rsidR="0081125A" w:rsidRPr="005652F5">
        <w:rPr>
          <w:rFonts w:ascii="Arial" w:hAnsi="Arial" w:cs="Arial"/>
          <w:b/>
          <w:bCs/>
          <w:sz w:val="24"/>
          <w:szCs w:val="24"/>
          <w:u w:val="single"/>
        </w:rPr>
        <w:t>É</w:t>
      </w:r>
      <w:r w:rsidRPr="005652F5">
        <w:rPr>
          <w:rFonts w:ascii="Arial" w:hAnsi="Arial" w:cs="Arial"/>
          <w:b/>
          <w:bCs/>
          <w:sz w:val="24"/>
          <w:szCs w:val="24"/>
          <w:u w:val="single"/>
        </w:rPr>
        <w:t>tat de droit</w:t>
      </w:r>
    </w:p>
    <w:p w14:paraId="03FE07B7" w14:textId="77777777" w:rsidR="00D341F6" w:rsidRDefault="00D341F6" w:rsidP="00D341F6">
      <w:pPr>
        <w:spacing w:after="0"/>
        <w:rPr>
          <w:rFonts w:ascii="Arial" w:hAnsi="Arial" w:cs="Arial"/>
        </w:rPr>
      </w:pPr>
    </w:p>
    <w:p w14:paraId="437ABB24" w14:textId="7D4B3345" w:rsidR="00D341F6" w:rsidRPr="00D341F6" w:rsidRDefault="00D341F6" w:rsidP="00D341F6">
      <w:pPr>
        <w:spacing w:after="0"/>
        <w:jc w:val="both"/>
        <w:rPr>
          <w:rFonts w:ascii="Arial" w:hAnsi="Arial" w:cs="Arial"/>
        </w:rPr>
      </w:pPr>
      <w:r w:rsidRPr="00D341F6">
        <w:rPr>
          <w:rFonts w:ascii="Arial" w:hAnsi="Arial" w:cs="Arial"/>
        </w:rPr>
        <w:t xml:space="preserve">Un </w:t>
      </w:r>
      <w:r w:rsidRPr="00D341F6">
        <w:rPr>
          <w:rStyle w:val="lev"/>
          <w:rFonts w:ascii="Arial" w:hAnsi="Arial" w:cs="Arial"/>
        </w:rPr>
        <w:t>Etat de droit</w:t>
      </w:r>
      <w:r w:rsidRPr="00D341F6">
        <w:rPr>
          <w:rFonts w:ascii="Arial" w:hAnsi="Arial" w:cs="Arial"/>
        </w:rPr>
        <w:t xml:space="preserve"> est un système institutionnel dans lequel la </w:t>
      </w:r>
      <w:hyperlink r:id="rId7" w:anchor="puissance_publique" w:history="1">
        <w:r w:rsidRPr="00D341F6">
          <w:rPr>
            <w:rStyle w:val="Lienhypertexte"/>
            <w:rFonts w:ascii="Arial" w:hAnsi="Arial" w:cs="Arial"/>
            <w:color w:val="auto"/>
            <w:u w:val="none"/>
          </w:rPr>
          <w:t>puissance publique</w:t>
        </w:r>
      </w:hyperlink>
      <w:r w:rsidRPr="00D341F6">
        <w:rPr>
          <w:rStyle w:val="lev"/>
          <w:rFonts w:ascii="Arial" w:hAnsi="Arial" w:cs="Arial"/>
        </w:rPr>
        <w:t xml:space="preserve"> est soumise au </w:t>
      </w:r>
      <w:hyperlink r:id="rId8" w:history="1">
        <w:r w:rsidRPr="00D341F6">
          <w:rPr>
            <w:rStyle w:val="Lienhypertexte"/>
            <w:rFonts w:ascii="Arial" w:hAnsi="Arial" w:cs="Arial"/>
            <w:color w:val="auto"/>
            <w:u w:val="none"/>
          </w:rPr>
          <w:t>droit</w:t>
        </w:r>
      </w:hyperlink>
      <w:r w:rsidRPr="00D341F6">
        <w:rPr>
          <w:rFonts w:ascii="Arial" w:hAnsi="Arial" w:cs="Arial"/>
        </w:rPr>
        <w:t xml:space="preserve">. Il est fondé sur le principe essentiel du </w:t>
      </w:r>
      <w:hyperlink r:id="rId9" w:history="1">
        <w:r w:rsidRPr="00D341F6">
          <w:rPr>
            <w:rStyle w:val="Lienhypertexte"/>
            <w:rFonts w:ascii="Arial" w:hAnsi="Arial" w:cs="Arial"/>
            <w:color w:val="auto"/>
            <w:u w:val="none"/>
          </w:rPr>
          <w:t>respect</w:t>
        </w:r>
      </w:hyperlink>
      <w:r w:rsidRPr="00D341F6">
        <w:rPr>
          <w:rFonts w:ascii="Arial" w:hAnsi="Arial" w:cs="Arial"/>
        </w:rPr>
        <w:t xml:space="preserve"> ses </w:t>
      </w:r>
      <w:hyperlink r:id="rId10" w:history="1">
        <w:r w:rsidRPr="00D341F6">
          <w:rPr>
            <w:rStyle w:val="Lienhypertexte"/>
            <w:rFonts w:ascii="Arial" w:hAnsi="Arial" w:cs="Arial"/>
            <w:color w:val="auto"/>
            <w:u w:val="none"/>
          </w:rPr>
          <w:t>normes</w:t>
        </w:r>
      </w:hyperlink>
      <w:r w:rsidRPr="00D341F6">
        <w:rPr>
          <w:rFonts w:ascii="Arial" w:hAnsi="Arial" w:cs="Arial"/>
        </w:rPr>
        <w:t xml:space="preserve"> juridiques, chacun étant soumis au même droit, que ce soit l'individu ou bien la puissance publique. Il est donc possible pour un particulier de contester les actions de l'</w:t>
      </w:r>
      <w:hyperlink r:id="rId11" w:history="1">
        <w:r w:rsidRPr="00D341F6">
          <w:rPr>
            <w:rStyle w:val="Lienhypertexte"/>
            <w:rFonts w:ascii="Arial" w:hAnsi="Arial" w:cs="Arial"/>
            <w:color w:val="auto"/>
            <w:u w:val="none"/>
          </w:rPr>
          <w:t>Etat</w:t>
        </w:r>
      </w:hyperlink>
      <w:r w:rsidRPr="00D341F6">
        <w:rPr>
          <w:rFonts w:ascii="Arial" w:hAnsi="Arial" w:cs="Arial"/>
        </w:rPr>
        <w:t xml:space="preserve"> ou d'un dirigeant politique s'il les considère comme illégales.</w:t>
      </w:r>
      <w:r w:rsidR="0081125A">
        <w:rPr>
          <w:rFonts w:ascii="Arial" w:hAnsi="Arial" w:cs="Arial"/>
        </w:rPr>
        <w:t xml:space="preserve"> </w:t>
      </w:r>
    </w:p>
    <w:p w14:paraId="566A2EBE" w14:textId="77777777" w:rsidR="00D341F6" w:rsidRDefault="00D341F6" w:rsidP="00313C15">
      <w:pPr>
        <w:spacing w:after="0"/>
        <w:rPr>
          <w:rFonts w:ascii="Arial" w:hAnsi="Arial" w:cs="Arial"/>
        </w:rPr>
      </w:pPr>
      <w:r>
        <w:rPr>
          <w:noProof/>
        </w:rPr>
        <w:drawing>
          <wp:anchor distT="0" distB="0" distL="114300" distR="114300" simplePos="0" relativeHeight="251658240" behindDoc="0" locked="0" layoutInCell="1" allowOverlap="1" wp14:anchorId="3BAE059F" wp14:editId="1E1A6A26">
            <wp:simplePos x="0" y="0"/>
            <wp:positionH relativeFrom="margin">
              <wp:posOffset>2706370</wp:posOffset>
            </wp:positionH>
            <wp:positionV relativeFrom="paragraph">
              <wp:posOffset>25400</wp:posOffset>
            </wp:positionV>
            <wp:extent cx="3423684" cy="2494789"/>
            <wp:effectExtent l="0" t="0" r="5715" b="1270"/>
            <wp:wrapNone/>
            <wp:docPr id="2" name="Image 2" descr="Résultat de recherche d'images pour &quot;hiérarchie des normes simp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hiérarchie des normes simple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3684" cy="2494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0009F" w14:textId="77777777" w:rsidR="00D341F6" w:rsidRPr="005652F5" w:rsidRDefault="00D341F6" w:rsidP="00D341F6">
      <w:pPr>
        <w:pStyle w:val="Paragraphedeliste"/>
        <w:numPr>
          <w:ilvl w:val="0"/>
          <w:numId w:val="13"/>
        </w:numPr>
        <w:spacing w:after="0"/>
        <w:rPr>
          <w:rFonts w:ascii="Arial" w:hAnsi="Arial" w:cs="Arial"/>
          <w:b/>
          <w:bCs/>
          <w:sz w:val="24"/>
          <w:szCs w:val="24"/>
          <w:u w:val="single"/>
        </w:rPr>
      </w:pPr>
      <w:r w:rsidRPr="005652F5">
        <w:rPr>
          <w:rFonts w:ascii="Arial" w:hAnsi="Arial" w:cs="Arial"/>
          <w:b/>
          <w:bCs/>
          <w:sz w:val="24"/>
          <w:szCs w:val="24"/>
          <w:u w:val="single"/>
        </w:rPr>
        <w:t>La hiérarchie des normes</w:t>
      </w:r>
    </w:p>
    <w:p w14:paraId="2974A62F" w14:textId="77777777" w:rsidR="00D341F6" w:rsidRDefault="00D341F6" w:rsidP="00D341F6">
      <w:pPr>
        <w:spacing w:after="0"/>
        <w:rPr>
          <w:rFonts w:ascii="Arial" w:hAnsi="Arial" w:cs="Arial"/>
        </w:rPr>
      </w:pPr>
    </w:p>
    <w:p w14:paraId="7B182B6B" w14:textId="77777777" w:rsidR="00D341F6" w:rsidRPr="00D341F6" w:rsidRDefault="00D341F6" w:rsidP="00D341F6">
      <w:pPr>
        <w:spacing w:after="0"/>
        <w:rPr>
          <w:rFonts w:ascii="Arial" w:hAnsi="Arial" w:cs="Arial"/>
        </w:rPr>
      </w:pPr>
    </w:p>
    <w:p w14:paraId="6946999C" w14:textId="77777777" w:rsidR="00D341F6" w:rsidRDefault="00D341F6" w:rsidP="00313C15">
      <w:pPr>
        <w:spacing w:after="0"/>
        <w:rPr>
          <w:rFonts w:ascii="Arial" w:hAnsi="Arial" w:cs="Arial"/>
        </w:rPr>
      </w:pPr>
    </w:p>
    <w:p w14:paraId="547FEBAF" w14:textId="77777777" w:rsidR="009E5438" w:rsidRDefault="009E5438" w:rsidP="00313C15">
      <w:pPr>
        <w:spacing w:after="0"/>
        <w:rPr>
          <w:rFonts w:ascii="Arial" w:hAnsi="Arial" w:cs="Arial"/>
        </w:rPr>
      </w:pPr>
    </w:p>
    <w:p w14:paraId="4A8175A3" w14:textId="77777777" w:rsidR="00D341F6" w:rsidRDefault="00D341F6" w:rsidP="00313C15">
      <w:pPr>
        <w:spacing w:after="0"/>
        <w:rPr>
          <w:rFonts w:ascii="Arial" w:hAnsi="Arial" w:cs="Arial"/>
        </w:rPr>
      </w:pPr>
    </w:p>
    <w:p w14:paraId="638AB89E" w14:textId="77777777" w:rsidR="00D341F6" w:rsidRDefault="00D341F6" w:rsidP="00313C15">
      <w:pPr>
        <w:spacing w:after="0"/>
        <w:rPr>
          <w:rFonts w:ascii="Arial" w:hAnsi="Arial" w:cs="Arial"/>
        </w:rPr>
      </w:pPr>
    </w:p>
    <w:p w14:paraId="5BD96D66" w14:textId="77777777" w:rsidR="00D341F6" w:rsidRDefault="00D341F6" w:rsidP="00313C15">
      <w:pPr>
        <w:spacing w:after="0"/>
        <w:rPr>
          <w:rFonts w:ascii="Arial" w:hAnsi="Arial" w:cs="Arial"/>
        </w:rPr>
      </w:pPr>
    </w:p>
    <w:p w14:paraId="3F46C064" w14:textId="77777777" w:rsidR="00D341F6" w:rsidRDefault="00D341F6" w:rsidP="00313C15">
      <w:pPr>
        <w:spacing w:after="0"/>
        <w:rPr>
          <w:rFonts w:ascii="Arial" w:hAnsi="Arial" w:cs="Arial"/>
        </w:rPr>
      </w:pPr>
    </w:p>
    <w:p w14:paraId="184F8A1B" w14:textId="77777777" w:rsidR="00D341F6" w:rsidRDefault="00D341F6" w:rsidP="00313C15">
      <w:pPr>
        <w:spacing w:after="0"/>
        <w:rPr>
          <w:rFonts w:ascii="Arial" w:hAnsi="Arial" w:cs="Arial"/>
        </w:rPr>
      </w:pPr>
    </w:p>
    <w:p w14:paraId="3E71F61D" w14:textId="77777777" w:rsidR="00D341F6" w:rsidRDefault="00D341F6" w:rsidP="00313C15">
      <w:pPr>
        <w:spacing w:after="0"/>
        <w:rPr>
          <w:rFonts w:ascii="Arial" w:hAnsi="Arial" w:cs="Arial"/>
        </w:rPr>
      </w:pPr>
    </w:p>
    <w:p w14:paraId="34FB9B3D" w14:textId="77777777" w:rsidR="00D341F6" w:rsidRDefault="00D341F6" w:rsidP="00313C15">
      <w:pPr>
        <w:spacing w:after="0"/>
        <w:rPr>
          <w:rFonts w:ascii="Arial" w:hAnsi="Arial" w:cs="Arial"/>
        </w:rPr>
      </w:pPr>
    </w:p>
    <w:p w14:paraId="337F51CC" w14:textId="77777777" w:rsidR="00D341F6" w:rsidRDefault="00D341F6" w:rsidP="00313C15">
      <w:pPr>
        <w:spacing w:after="0"/>
        <w:rPr>
          <w:rFonts w:ascii="Arial" w:hAnsi="Arial" w:cs="Arial"/>
        </w:rPr>
      </w:pPr>
    </w:p>
    <w:p w14:paraId="3671C265" w14:textId="77777777" w:rsidR="00D341F6" w:rsidRDefault="00D341F6" w:rsidP="00313C15">
      <w:pPr>
        <w:spacing w:after="0"/>
        <w:rPr>
          <w:rFonts w:ascii="Arial" w:hAnsi="Arial" w:cs="Arial"/>
        </w:rPr>
      </w:pPr>
    </w:p>
    <w:p w14:paraId="453B7AE0" w14:textId="77777777" w:rsidR="00D341F6" w:rsidRDefault="00D341F6" w:rsidP="00313C15">
      <w:pPr>
        <w:spacing w:after="0"/>
        <w:rPr>
          <w:rFonts w:ascii="Arial" w:hAnsi="Arial" w:cs="Arial"/>
        </w:rPr>
      </w:pPr>
    </w:p>
    <w:p w14:paraId="15E5C995" w14:textId="77777777" w:rsidR="00BB77FA" w:rsidRPr="00BB77FA" w:rsidRDefault="00BB77FA" w:rsidP="00D341F6">
      <w:pPr>
        <w:pStyle w:val="Paragraphedeliste"/>
        <w:numPr>
          <w:ilvl w:val="0"/>
          <w:numId w:val="14"/>
        </w:numPr>
        <w:spacing w:after="0"/>
        <w:rPr>
          <w:rFonts w:ascii="Arial" w:hAnsi="Arial" w:cs="Arial"/>
          <w:b/>
          <w:sz w:val="24"/>
          <w:u w:val="single"/>
        </w:rPr>
      </w:pPr>
      <w:r w:rsidRPr="00BB77FA">
        <w:rPr>
          <w:rFonts w:ascii="Arial" w:hAnsi="Arial" w:cs="Arial"/>
          <w:b/>
          <w:sz w:val="24"/>
          <w:u w:val="single"/>
        </w:rPr>
        <w:t xml:space="preserve">La Constitution </w:t>
      </w:r>
    </w:p>
    <w:p w14:paraId="2B730351" w14:textId="77777777" w:rsidR="00BB77FA" w:rsidRPr="00BB77FA" w:rsidRDefault="00BB77FA" w:rsidP="00BB77FA">
      <w:pPr>
        <w:spacing w:after="0"/>
        <w:rPr>
          <w:rFonts w:ascii="Arial" w:hAnsi="Arial" w:cs="Arial"/>
        </w:rPr>
      </w:pPr>
    </w:p>
    <w:p w14:paraId="7652F804" w14:textId="77777777" w:rsidR="00BB77FA" w:rsidRPr="00BB77FA" w:rsidRDefault="00BB77FA" w:rsidP="00C23D1C">
      <w:pPr>
        <w:spacing w:after="0"/>
        <w:jc w:val="both"/>
        <w:rPr>
          <w:rFonts w:ascii="Arial" w:hAnsi="Arial" w:cs="Arial"/>
        </w:rPr>
      </w:pPr>
      <w:r w:rsidRPr="00BB77FA">
        <w:rPr>
          <w:rFonts w:ascii="Arial" w:hAnsi="Arial" w:cs="Arial"/>
        </w:rPr>
        <w:t>La Constitution française actuellement en vigueur est celle du 4 octobre 1958 approuvée par référendum par majorité du peuple français. La Constitution est la loi fondamentale de la République : elle définit l'organisation et le fonctionnement des pouvoirs publics (président de la République, gouvernement, Parlement...)</w:t>
      </w:r>
      <w:r w:rsidR="00C23D1C">
        <w:rPr>
          <w:rFonts w:ascii="Arial" w:hAnsi="Arial" w:cs="Arial"/>
        </w:rPr>
        <w:t>.</w:t>
      </w:r>
      <w:r w:rsidRPr="00BB77FA">
        <w:rPr>
          <w:rFonts w:ascii="Arial" w:hAnsi="Arial" w:cs="Arial"/>
        </w:rPr>
        <w:t xml:space="preserve"> </w:t>
      </w:r>
    </w:p>
    <w:p w14:paraId="68019721" w14:textId="77777777" w:rsidR="00BB77FA" w:rsidRPr="00BB77FA" w:rsidRDefault="00BB77FA" w:rsidP="00BB77FA">
      <w:pPr>
        <w:spacing w:after="0"/>
        <w:rPr>
          <w:rFonts w:ascii="Arial" w:hAnsi="Arial" w:cs="Arial"/>
        </w:rPr>
      </w:pPr>
    </w:p>
    <w:p w14:paraId="200FB990" w14:textId="77777777" w:rsidR="00BB77FA" w:rsidRPr="00D341F6" w:rsidRDefault="00D341F6" w:rsidP="00D341F6">
      <w:pPr>
        <w:pStyle w:val="Paragraphedeliste"/>
        <w:numPr>
          <w:ilvl w:val="0"/>
          <w:numId w:val="14"/>
        </w:numPr>
        <w:spacing w:after="0"/>
        <w:rPr>
          <w:rFonts w:ascii="Arial" w:hAnsi="Arial" w:cs="Arial"/>
          <w:b/>
          <w:sz w:val="24"/>
          <w:u w:val="single"/>
        </w:rPr>
      </w:pPr>
      <w:r w:rsidRPr="00BB77FA">
        <w:rPr>
          <w:noProof/>
        </w:rPr>
        <w:drawing>
          <wp:anchor distT="0" distB="0" distL="114300" distR="114300" simplePos="0" relativeHeight="251659264" behindDoc="1" locked="0" layoutInCell="1" allowOverlap="1" wp14:anchorId="7666EEEC" wp14:editId="65E8B9A3">
            <wp:simplePos x="0" y="0"/>
            <wp:positionH relativeFrom="margin">
              <wp:posOffset>1512939</wp:posOffset>
            </wp:positionH>
            <wp:positionV relativeFrom="paragraph">
              <wp:posOffset>12508</wp:posOffset>
            </wp:positionV>
            <wp:extent cx="4699000" cy="2149475"/>
            <wp:effectExtent l="0" t="0" r="6350" b="3175"/>
            <wp:wrapTight wrapText="bothSides">
              <wp:wrapPolygon edited="0">
                <wp:start x="0" y="0"/>
                <wp:lineTo x="0" y="21440"/>
                <wp:lineTo x="21542" y="21440"/>
                <wp:lineTo x="2154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99000" cy="2149475"/>
                    </a:xfrm>
                    <a:prstGeom prst="rect">
                      <a:avLst/>
                    </a:prstGeom>
                  </pic:spPr>
                </pic:pic>
              </a:graphicData>
            </a:graphic>
            <wp14:sizeRelH relativeFrom="page">
              <wp14:pctWidth>0</wp14:pctWidth>
            </wp14:sizeRelH>
            <wp14:sizeRelV relativeFrom="page">
              <wp14:pctHeight>0</wp14:pctHeight>
            </wp14:sizeRelV>
          </wp:anchor>
        </w:drawing>
      </w:r>
      <w:r w:rsidR="00BB77FA" w:rsidRPr="00D341F6">
        <w:rPr>
          <w:rFonts w:ascii="Arial" w:hAnsi="Arial" w:cs="Arial"/>
          <w:b/>
          <w:sz w:val="24"/>
          <w:u w:val="single"/>
        </w:rPr>
        <w:t xml:space="preserve">La loi </w:t>
      </w:r>
    </w:p>
    <w:p w14:paraId="164E845C" w14:textId="77777777" w:rsidR="00BB77FA" w:rsidRPr="00BB77FA" w:rsidRDefault="00BB77FA" w:rsidP="00BB77FA">
      <w:pPr>
        <w:spacing w:after="0"/>
        <w:rPr>
          <w:rFonts w:ascii="Arial" w:hAnsi="Arial" w:cs="Arial"/>
        </w:rPr>
      </w:pPr>
    </w:p>
    <w:p w14:paraId="5D3875FE" w14:textId="77777777" w:rsidR="00BB77FA" w:rsidRPr="00BB77FA" w:rsidRDefault="00BB77FA" w:rsidP="00C23D1C">
      <w:pPr>
        <w:spacing w:after="0"/>
        <w:jc w:val="both"/>
        <w:rPr>
          <w:rFonts w:ascii="Arial" w:hAnsi="Arial" w:cs="Arial"/>
        </w:rPr>
      </w:pPr>
      <w:r w:rsidRPr="00BB77FA">
        <w:rPr>
          <w:rFonts w:ascii="Arial" w:hAnsi="Arial" w:cs="Arial"/>
        </w:rPr>
        <w:t>Pour être adopté, un projet ou une proposition de loi, doit en principe, être voté en termes identiques par l'assemblée nationale et le Sénat.</w:t>
      </w:r>
    </w:p>
    <w:p w14:paraId="5A13706E" w14:textId="77777777" w:rsidR="00BB77FA" w:rsidRPr="00BB77FA" w:rsidRDefault="00BB77FA" w:rsidP="00BB77FA">
      <w:pPr>
        <w:spacing w:after="0"/>
        <w:rPr>
          <w:rFonts w:ascii="Arial" w:hAnsi="Arial" w:cs="Arial"/>
        </w:rPr>
      </w:pPr>
    </w:p>
    <w:p w14:paraId="36CD2007" w14:textId="77777777" w:rsidR="00BB77FA" w:rsidRDefault="00BB77FA" w:rsidP="00BB77FA">
      <w:pPr>
        <w:spacing w:after="0"/>
        <w:rPr>
          <w:rFonts w:ascii="Arial" w:hAnsi="Arial" w:cs="Arial"/>
        </w:rPr>
      </w:pPr>
    </w:p>
    <w:p w14:paraId="76526DE1" w14:textId="77777777" w:rsidR="00D341F6" w:rsidRDefault="00D341F6" w:rsidP="00BB77FA">
      <w:pPr>
        <w:spacing w:after="0"/>
        <w:rPr>
          <w:rFonts w:ascii="Arial" w:hAnsi="Arial" w:cs="Arial"/>
        </w:rPr>
      </w:pPr>
    </w:p>
    <w:p w14:paraId="534E3990" w14:textId="77777777" w:rsidR="00D341F6" w:rsidRDefault="00D341F6" w:rsidP="00BB77FA">
      <w:pPr>
        <w:spacing w:after="0"/>
        <w:rPr>
          <w:rFonts w:ascii="Arial" w:hAnsi="Arial" w:cs="Arial"/>
        </w:rPr>
      </w:pPr>
    </w:p>
    <w:p w14:paraId="5557AFDB" w14:textId="77777777" w:rsidR="005652F5" w:rsidRDefault="005652F5" w:rsidP="00BB77FA">
      <w:pPr>
        <w:spacing w:after="0"/>
        <w:rPr>
          <w:rFonts w:ascii="Arial" w:hAnsi="Arial" w:cs="Arial"/>
        </w:rPr>
      </w:pPr>
    </w:p>
    <w:p w14:paraId="7B0327A5" w14:textId="77777777" w:rsidR="00D341F6" w:rsidRDefault="00D341F6" w:rsidP="00BB77FA">
      <w:pPr>
        <w:spacing w:after="0"/>
        <w:rPr>
          <w:rFonts w:ascii="Arial" w:hAnsi="Arial" w:cs="Arial"/>
        </w:rPr>
      </w:pPr>
    </w:p>
    <w:p w14:paraId="4314D915" w14:textId="77777777" w:rsidR="00D341F6" w:rsidRDefault="00D341F6" w:rsidP="00BB77FA">
      <w:pPr>
        <w:spacing w:after="0"/>
        <w:rPr>
          <w:rFonts w:ascii="Arial" w:hAnsi="Arial" w:cs="Arial"/>
        </w:rPr>
      </w:pPr>
    </w:p>
    <w:p w14:paraId="1D5C6995" w14:textId="77777777" w:rsidR="0081125A" w:rsidRDefault="0081125A" w:rsidP="00BB77FA">
      <w:pPr>
        <w:spacing w:after="0"/>
        <w:rPr>
          <w:rFonts w:ascii="Arial" w:hAnsi="Arial" w:cs="Arial"/>
        </w:rPr>
      </w:pPr>
    </w:p>
    <w:p w14:paraId="11D8C316" w14:textId="77777777" w:rsidR="00BB77FA" w:rsidRPr="00D341F6" w:rsidRDefault="00BB77FA" w:rsidP="00D341F6">
      <w:pPr>
        <w:pStyle w:val="Paragraphedeliste"/>
        <w:numPr>
          <w:ilvl w:val="0"/>
          <w:numId w:val="14"/>
        </w:numPr>
        <w:spacing w:after="0"/>
        <w:rPr>
          <w:rFonts w:ascii="Arial" w:hAnsi="Arial" w:cs="Arial"/>
          <w:b/>
          <w:sz w:val="24"/>
          <w:u w:val="single"/>
        </w:rPr>
      </w:pPr>
      <w:r w:rsidRPr="00D341F6">
        <w:rPr>
          <w:rFonts w:ascii="Arial" w:hAnsi="Arial" w:cs="Arial"/>
          <w:b/>
          <w:sz w:val="24"/>
          <w:u w:val="single"/>
        </w:rPr>
        <w:lastRenderedPageBreak/>
        <w:t>Les sources réglementaires du droit</w:t>
      </w:r>
      <w:r w:rsidRPr="00D341F6">
        <w:rPr>
          <w:rFonts w:ascii="Arial" w:hAnsi="Arial" w:cs="Arial"/>
          <w:b/>
          <w:sz w:val="24"/>
        </w:rPr>
        <w:t xml:space="preserve"> </w:t>
      </w:r>
    </w:p>
    <w:p w14:paraId="43C0EF45" w14:textId="77777777" w:rsidR="00BB77FA" w:rsidRPr="00BB77FA" w:rsidRDefault="00BB77FA" w:rsidP="00BB77FA">
      <w:pPr>
        <w:spacing w:after="0"/>
        <w:rPr>
          <w:rFonts w:ascii="Arial" w:hAnsi="Arial" w:cs="Arial"/>
        </w:rPr>
      </w:pPr>
    </w:p>
    <w:p w14:paraId="5BA80075" w14:textId="77777777" w:rsidR="00BB77FA" w:rsidRPr="00BB77FA" w:rsidRDefault="00BB77FA" w:rsidP="00BB77FA">
      <w:pPr>
        <w:pStyle w:val="Paragraphedeliste"/>
        <w:numPr>
          <w:ilvl w:val="0"/>
          <w:numId w:val="8"/>
        </w:numPr>
        <w:spacing w:after="0"/>
        <w:ind w:left="360"/>
        <w:jc w:val="both"/>
        <w:rPr>
          <w:rFonts w:ascii="Arial" w:hAnsi="Arial" w:cs="Arial"/>
        </w:rPr>
      </w:pPr>
      <w:r w:rsidRPr="00BB77FA">
        <w:rPr>
          <w:rFonts w:ascii="Arial" w:hAnsi="Arial" w:cs="Arial"/>
          <w:b/>
        </w:rPr>
        <w:t>Les règlements</w:t>
      </w:r>
      <w:r w:rsidRPr="00BB77FA">
        <w:rPr>
          <w:rFonts w:ascii="Arial" w:hAnsi="Arial" w:cs="Arial"/>
        </w:rPr>
        <w:t xml:space="preserve">. Alors que la loi émane du Parlement, les règlements émanent du pouvoir exécutif. Le Premier ministre et le président de la République signent des décrets. </w:t>
      </w:r>
    </w:p>
    <w:p w14:paraId="572672E7" w14:textId="238AAC25" w:rsidR="00BB77FA" w:rsidRPr="00BB77FA" w:rsidRDefault="00BB77FA" w:rsidP="00BB77FA">
      <w:pPr>
        <w:spacing w:after="0"/>
        <w:jc w:val="both"/>
        <w:rPr>
          <w:rFonts w:ascii="Arial" w:hAnsi="Arial" w:cs="Arial"/>
        </w:rPr>
      </w:pPr>
    </w:p>
    <w:p w14:paraId="7912DF0E" w14:textId="77777777" w:rsidR="00BB77FA" w:rsidRPr="00BB77FA" w:rsidRDefault="00BB77FA" w:rsidP="00BB77FA">
      <w:pPr>
        <w:pStyle w:val="Paragraphedeliste"/>
        <w:numPr>
          <w:ilvl w:val="0"/>
          <w:numId w:val="8"/>
        </w:numPr>
        <w:spacing w:after="0"/>
        <w:ind w:left="360"/>
        <w:jc w:val="both"/>
        <w:rPr>
          <w:rFonts w:ascii="Arial" w:hAnsi="Arial" w:cs="Arial"/>
        </w:rPr>
      </w:pPr>
      <w:r w:rsidRPr="00BB77FA">
        <w:rPr>
          <w:rFonts w:ascii="Arial" w:hAnsi="Arial" w:cs="Arial"/>
          <w:b/>
        </w:rPr>
        <w:t>Les arrêtés</w:t>
      </w:r>
      <w:r>
        <w:rPr>
          <w:rFonts w:ascii="Arial" w:hAnsi="Arial" w:cs="Arial"/>
          <w:b/>
        </w:rPr>
        <w:t>.</w:t>
      </w:r>
      <w:r w:rsidRPr="00BB77FA">
        <w:rPr>
          <w:rFonts w:ascii="Arial" w:hAnsi="Arial" w:cs="Arial"/>
        </w:rPr>
        <w:t xml:space="preserve"> </w:t>
      </w:r>
      <w:r>
        <w:rPr>
          <w:rFonts w:ascii="Arial" w:hAnsi="Arial" w:cs="Arial"/>
        </w:rPr>
        <w:t>Ils sont s</w:t>
      </w:r>
      <w:r w:rsidRPr="00BB77FA">
        <w:rPr>
          <w:rFonts w:ascii="Arial" w:hAnsi="Arial" w:cs="Arial"/>
        </w:rPr>
        <w:t>ignés par un ou des ministres (arrêtés ministériels), par les préfets (arrêtés préfectoraux), par les maires (arrêtés municipaux).</w:t>
      </w:r>
    </w:p>
    <w:p w14:paraId="640425CD" w14:textId="77777777" w:rsidR="00BB77FA" w:rsidRPr="00BB77FA" w:rsidRDefault="00BB77FA" w:rsidP="00BB77FA">
      <w:pPr>
        <w:spacing w:after="0"/>
        <w:rPr>
          <w:rFonts w:ascii="Arial" w:hAnsi="Arial" w:cs="Arial"/>
        </w:rPr>
      </w:pPr>
    </w:p>
    <w:p w14:paraId="0E2B2449" w14:textId="77777777" w:rsidR="00BB77FA" w:rsidRPr="00D341F6" w:rsidRDefault="00BB77FA" w:rsidP="00D341F6">
      <w:pPr>
        <w:pStyle w:val="Paragraphedeliste"/>
        <w:numPr>
          <w:ilvl w:val="0"/>
          <w:numId w:val="14"/>
        </w:numPr>
        <w:spacing w:after="0"/>
        <w:rPr>
          <w:rFonts w:ascii="Arial" w:hAnsi="Arial" w:cs="Arial"/>
          <w:b/>
          <w:sz w:val="24"/>
          <w:u w:val="single"/>
        </w:rPr>
      </w:pPr>
      <w:r w:rsidRPr="00D341F6">
        <w:rPr>
          <w:rFonts w:ascii="Arial" w:hAnsi="Arial" w:cs="Arial"/>
          <w:b/>
          <w:sz w:val="24"/>
          <w:u w:val="single"/>
        </w:rPr>
        <w:t>Une source indirecte : la jurisprudence</w:t>
      </w:r>
    </w:p>
    <w:p w14:paraId="281BACD5" w14:textId="77777777" w:rsidR="00BB77FA" w:rsidRPr="00BB77FA" w:rsidRDefault="00BB77FA" w:rsidP="00BB77FA">
      <w:pPr>
        <w:pStyle w:val="Paragraphedeliste"/>
        <w:spacing w:after="0"/>
        <w:ind w:left="750"/>
        <w:rPr>
          <w:rFonts w:ascii="Arial" w:hAnsi="Arial" w:cs="Arial"/>
        </w:rPr>
      </w:pPr>
    </w:p>
    <w:p w14:paraId="48C23694" w14:textId="1F3C65D4" w:rsidR="00BB77FA" w:rsidRPr="00BB77FA" w:rsidRDefault="00BB77FA" w:rsidP="00C23D1C">
      <w:pPr>
        <w:spacing w:after="0"/>
        <w:jc w:val="both"/>
        <w:rPr>
          <w:rFonts w:ascii="Arial" w:hAnsi="Arial" w:cs="Arial"/>
        </w:rPr>
      </w:pPr>
      <w:r w:rsidRPr="00BB77FA">
        <w:rPr>
          <w:rFonts w:ascii="Arial" w:hAnsi="Arial" w:cs="Arial"/>
        </w:rPr>
        <w:t xml:space="preserve">La jurisprudence est constituée par l'ensemble des décisions des juridictions dans un domaine particulier. Les textes juridiques ne pouvant prévoir toutes les situations, les juges disposent dans leurs décisions d'un certain pouvoir d'interprétation. </w:t>
      </w:r>
    </w:p>
    <w:p w14:paraId="5DB4A561" w14:textId="77777777" w:rsidR="00BB77FA" w:rsidRPr="00BB77FA" w:rsidRDefault="00BB77FA" w:rsidP="00C23D1C">
      <w:pPr>
        <w:spacing w:after="0"/>
        <w:jc w:val="both"/>
        <w:rPr>
          <w:rFonts w:ascii="Arial" w:hAnsi="Arial" w:cs="Arial"/>
        </w:rPr>
      </w:pPr>
    </w:p>
    <w:p w14:paraId="76395D5E" w14:textId="77777777" w:rsidR="00BB77FA" w:rsidRPr="00D341F6" w:rsidRDefault="00BB77FA" w:rsidP="00D341F6">
      <w:pPr>
        <w:pStyle w:val="Paragraphedeliste"/>
        <w:numPr>
          <w:ilvl w:val="0"/>
          <w:numId w:val="14"/>
        </w:numPr>
        <w:spacing w:after="0"/>
        <w:rPr>
          <w:rFonts w:ascii="Arial" w:hAnsi="Arial" w:cs="Arial"/>
          <w:b/>
          <w:sz w:val="24"/>
          <w:u w:val="single"/>
        </w:rPr>
      </w:pPr>
      <w:r w:rsidRPr="00D341F6">
        <w:rPr>
          <w:rFonts w:ascii="Arial" w:hAnsi="Arial" w:cs="Arial"/>
          <w:b/>
          <w:sz w:val="24"/>
          <w:u w:val="single"/>
        </w:rPr>
        <w:t>Les sources communautaires et internationales</w:t>
      </w:r>
    </w:p>
    <w:p w14:paraId="11BFC4E7" w14:textId="77777777" w:rsidR="00BB77FA" w:rsidRPr="00BB77FA" w:rsidRDefault="00BB77FA" w:rsidP="00BB77FA">
      <w:pPr>
        <w:spacing w:after="0"/>
        <w:rPr>
          <w:rFonts w:ascii="Arial" w:hAnsi="Arial" w:cs="Arial"/>
        </w:rPr>
      </w:pPr>
    </w:p>
    <w:p w14:paraId="04F19F2C" w14:textId="77777777" w:rsidR="00BB77FA" w:rsidRDefault="00BB77FA" w:rsidP="00BB77FA">
      <w:pPr>
        <w:spacing w:after="0"/>
        <w:jc w:val="both"/>
        <w:rPr>
          <w:rFonts w:ascii="Arial" w:hAnsi="Arial" w:cs="Arial"/>
        </w:rPr>
      </w:pPr>
      <w:r w:rsidRPr="00BB77FA">
        <w:rPr>
          <w:rFonts w:ascii="Arial" w:hAnsi="Arial" w:cs="Arial"/>
        </w:rPr>
        <w:t>Le Conseil d'État, comme la Cour de cassation, reconnaissent la primauté du droit communautaire(directives ou règlements) sur les lois nationales</w:t>
      </w:r>
      <w:r>
        <w:rPr>
          <w:rFonts w:ascii="Arial" w:hAnsi="Arial" w:cs="Arial"/>
        </w:rPr>
        <w:t xml:space="preserve">. </w:t>
      </w:r>
    </w:p>
    <w:p w14:paraId="447418E0" w14:textId="000A5D1F" w:rsidR="00BB77FA" w:rsidRDefault="00BB77FA" w:rsidP="00BB77FA">
      <w:pPr>
        <w:spacing w:after="0"/>
        <w:rPr>
          <w:rFonts w:ascii="Arial" w:hAnsi="Arial" w:cs="Arial"/>
        </w:rPr>
      </w:pPr>
    </w:p>
    <w:p w14:paraId="34EB2490" w14:textId="77777777" w:rsidR="00BB77FA" w:rsidRPr="00BB77FA" w:rsidRDefault="00BB77FA" w:rsidP="00BB77FA">
      <w:pPr>
        <w:pStyle w:val="Paragraphedeliste"/>
        <w:numPr>
          <w:ilvl w:val="0"/>
          <w:numId w:val="9"/>
        </w:numPr>
        <w:spacing w:after="0"/>
        <w:rPr>
          <w:rFonts w:ascii="Arial" w:hAnsi="Arial" w:cs="Arial"/>
        </w:rPr>
      </w:pPr>
      <w:r w:rsidRPr="00C23D1C">
        <w:rPr>
          <w:rFonts w:ascii="Arial" w:hAnsi="Arial" w:cs="Arial"/>
          <w:b/>
        </w:rPr>
        <w:t>La directive</w:t>
      </w:r>
      <w:r w:rsidRPr="00BB77FA">
        <w:rPr>
          <w:rFonts w:ascii="Arial" w:hAnsi="Arial" w:cs="Arial"/>
        </w:rPr>
        <w:t>, qui fixe un objectif à atteindre avant une date fixée, mais laisse chaque État libre du choix, des moyens pour la transcrire dans sa législation nationale ;</w:t>
      </w:r>
    </w:p>
    <w:p w14:paraId="3BE68453" w14:textId="77777777" w:rsidR="00BB77FA" w:rsidRDefault="00BB77FA" w:rsidP="00BB77FA">
      <w:pPr>
        <w:spacing w:after="0"/>
        <w:rPr>
          <w:rFonts w:ascii="Arial" w:hAnsi="Arial" w:cs="Arial"/>
        </w:rPr>
      </w:pPr>
    </w:p>
    <w:p w14:paraId="156F4018" w14:textId="273B4AC4" w:rsidR="00BB77FA" w:rsidRPr="00BB77FA" w:rsidRDefault="00BB77FA" w:rsidP="00BB77FA">
      <w:pPr>
        <w:pStyle w:val="Paragraphedeliste"/>
        <w:numPr>
          <w:ilvl w:val="0"/>
          <w:numId w:val="9"/>
        </w:numPr>
        <w:spacing w:after="0"/>
        <w:rPr>
          <w:rFonts w:ascii="Arial" w:hAnsi="Arial" w:cs="Arial"/>
        </w:rPr>
      </w:pPr>
      <w:r w:rsidRPr="00C23D1C">
        <w:rPr>
          <w:rFonts w:ascii="Arial" w:hAnsi="Arial" w:cs="Arial"/>
          <w:b/>
        </w:rPr>
        <w:t>Le règlement</w:t>
      </w:r>
      <w:r w:rsidRPr="00BB77FA">
        <w:rPr>
          <w:rFonts w:ascii="Arial" w:hAnsi="Arial" w:cs="Arial"/>
        </w:rPr>
        <w:t>, qui est immédiatement applicable et obligatoire pour tous les citoyens des États membres.</w:t>
      </w:r>
    </w:p>
    <w:p w14:paraId="67FA8752" w14:textId="0CCE08B1" w:rsidR="00BB77FA" w:rsidRPr="00BB77FA" w:rsidRDefault="00BB77FA" w:rsidP="00BB77FA">
      <w:pPr>
        <w:spacing w:after="0"/>
        <w:rPr>
          <w:rFonts w:ascii="Arial" w:hAnsi="Arial" w:cs="Arial"/>
        </w:rPr>
      </w:pPr>
    </w:p>
    <w:p w14:paraId="1126543F" w14:textId="1453CE4B" w:rsidR="00BB77FA" w:rsidRPr="00BB77FA" w:rsidRDefault="00BB77FA" w:rsidP="00BB77FA">
      <w:pPr>
        <w:spacing w:after="0"/>
        <w:jc w:val="both"/>
        <w:rPr>
          <w:rFonts w:ascii="Arial" w:hAnsi="Arial" w:cs="Arial"/>
        </w:rPr>
      </w:pPr>
      <w:r w:rsidRPr="00BB77FA">
        <w:rPr>
          <w:rFonts w:ascii="Arial" w:hAnsi="Arial" w:cs="Arial"/>
        </w:rPr>
        <w:t xml:space="preserve">De nombreux traités internationaux existent également en matière de commerce, de protection des consommateurs… ces traités doivent être validés par le Parlement. </w:t>
      </w:r>
    </w:p>
    <w:p w14:paraId="067AA73E" w14:textId="77777777" w:rsidR="00BB77FA" w:rsidRPr="00BB77FA" w:rsidRDefault="00BB77FA" w:rsidP="00BB77FA">
      <w:pPr>
        <w:spacing w:after="0"/>
        <w:rPr>
          <w:rFonts w:ascii="Arial" w:hAnsi="Arial" w:cs="Arial"/>
        </w:rPr>
      </w:pPr>
    </w:p>
    <w:p w14:paraId="2A6EAB66" w14:textId="4102E42A" w:rsidR="00D341F6" w:rsidRDefault="00C5371B" w:rsidP="00D341F6">
      <w:pPr>
        <w:pStyle w:val="Paragraphedeliste"/>
        <w:numPr>
          <w:ilvl w:val="0"/>
          <w:numId w:val="13"/>
        </w:numPr>
        <w:spacing w:after="0"/>
        <w:rPr>
          <w:rFonts w:ascii="Arial" w:hAnsi="Arial" w:cs="Arial"/>
          <w:b/>
          <w:bCs/>
          <w:sz w:val="28"/>
          <w:szCs w:val="28"/>
          <w:u w:val="single"/>
        </w:rPr>
      </w:pPr>
      <w:r>
        <w:rPr>
          <w:noProof/>
        </w:rPr>
        <w:drawing>
          <wp:anchor distT="0" distB="0" distL="114300" distR="114300" simplePos="0" relativeHeight="251660288" behindDoc="0" locked="0" layoutInCell="1" allowOverlap="1" wp14:anchorId="3F3233E5" wp14:editId="3B26BB3A">
            <wp:simplePos x="0" y="0"/>
            <wp:positionH relativeFrom="column">
              <wp:posOffset>-613022</wp:posOffset>
            </wp:positionH>
            <wp:positionV relativeFrom="paragraph">
              <wp:posOffset>343637</wp:posOffset>
            </wp:positionV>
            <wp:extent cx="6779051" cy="3728852"/>
            <wp:effectExtent l="0" t="0" r="3175"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79051" cy="3728852"/>
                    </a:xfrm>
                    <a:prstGeom prst="rect">
                      <a:avLst/>
                    </a:prstGeom>
                  </pic:spPr>
                </pic:pic>
              </a:graphicData>
            </a:graphic>
            <wp14:sizeRelH relativeFrom="page">
              <wp14:pctWidth>0</wp14:pctWidth>
            </wp14:sizeRelH>
            <wp14:sizeRelV relativeFrom="page">
              <wp14:pctHeight>0</wp14:pctHeight>
            </wp14:sizeRelV>
          </wp:anchor>
        </w:drawing>
      </w:r>
      <w:r w:rsidR="00D341F6">
        <w:rPr>
          <w:rFonts w:ascii="Arial" w:hAnsi="Arial" w:cs="Arial"/>
          <w:b/>
          <w:bCs/>
          <w:sz w:val="28"/>
          <w:szCs w:val="28"/>
          <w:u w:val="single"/>
        </w:rPr>
        <w:t xml:space="preserve">L’organisation </w:t>
      </w:r>
      <w:r>
        <w:rPr>
          <w:rFonts w:ascii="Arial" w:hAnsi="Arial" w:cs="Arial"/>
          <w:b/>
          <w:bCs/>
          <w:sz w:val="28"/>
          <w:szCs w:val="28"/>
          <w:u w:val="single"/>
        </w:rPr>
        <w:t>juridictionnelle</w:t>
      </w:r>
    </w:p>
    <w:p w14:paraId="72B23288" w14:textId="208C4A16" w:rsidR="00D341F6" w:rsidRDefault="00D341F6" w:rsidP="00D341F6">
      <w:pPr>
        <w:spacing w:after="0"/>
        <w:rPr>
          <w:rFonts w:ascii="Arial" w:hAnsi="Arial" w:cs="Arial"/>
          <w:b/>
          <w:bCs/>
          <w:sz w:val="28"/>
          <w:szCs w:val="28"/>
          <w:u w:val="single"/>
        </w:rPr>
      </w:pPr>
    </w:p>
    <w:p w14:paraId="39497A60" w14:textId="23F54ED0" w:rsidR="00D341F6" w:rsidRPr="00D341F6" w:rsidRDefault="00D341F6" w:rsidP="00D341F6">
      <w:pPr>
        <w:spacing w:after="0"/>
        <w:rPr>
          <w:rFonts w:ascii="Arial" w:hAnsi="Arial" w:cs="Arial"/>
          <w:b/>
          <w:bCs/>
          <w:sz w:val="28"/>
          <w:szCs w:val="28"/>
          <w:u w:val="single"/>
        </w:rPr>
      </w:pPr>
    </w:p>
    <w:p w14:paraId="52E88F2A" w14:textId="6CE231C7" w:rsidR="00F40681" w:rsidRDefault="00F40681" w:rsidP="00D341F6">
      <w:pPr>
        <w:spacing w:after="0"/>
        <w:jc w:val="both"/>
        <w:rPr>
          <w:rFonts w:ascii="Arial" w:hAnsi="Arial" w:cs="Arial"/>
          <w:b/>
        </w:rPr>
      </w:pPr>
    </w:p>
    <w:p w14:paraId="3EC91360" w14:textId="77777777" w:rsidR="00BB77FA" w:rsidRDefault="00BB77FA" w:rsidP="00D341F6">
      <w:pPr>
        <w:spacing w:after="0"/>
        <w:jc w:val="both"/>
        <w:rPr>
          <w:rFonts w:ascii="Arial" w:hAnsi="Arial" w:cs="Arial"/>
          <w:b/>
        </w:rPr>
      </w:pPr>
    </w:p>
    <w:p w14:paraId="42F930E7" w14:textId="77777777" w:rsidR="00F40681" w:rsidRDefault="00F40681" w:rsidP="00D341F6">
      <w:pPr>
        <w:spacing w:after="0"/>
        <w:jc w:val="both"/>
        <w:rPr>
          <w:rFonts w:ascii="Arial" w:hAnsi="Arial" w:cs="Arial"/>
          <w:b/>
        </w:rPr>
      </w:pPr>
    </w:p>
    <w:p w14:paraId="6CD5DE63" w14:textId="77777777" w:rsidR="00F40681" w:rsidRDefault="00F40681" w:rsidP="00D341F6">
      <w:pPr>
        <w:spacing w:after="0"/>
        <w:jc w:val="both"/>
        <w:rPr>
          <w:rFonts w:ascii="Arial" w:hAnsi="Arial" w:cs="Arial"/>
          <w:b/>
        </w:rPr>
      </w:pPr>
    </w:p>
    <w:p w14:paraId="63C17F50" w14:textId="77777777" w:rsidR="00F40681" w:rsidRDefault="00F40681" w:rsidP="00D341F6">
      <w:pPr>
        <w:spacing w:after="0"/>
        <w:jc w:val="both"/>
        <w:rPr>
          <w:rFonts w:ascii="Arial" w:hAnsi="Arial" w:cs="Arial"/>
          <w:b/>
        </w:rPr>
      </w:pPr>
    </w:p>
    <w:p w14:paraId="113E09F0" w14:textId="77777777" w:rsidR="00F40681" w:rsidRDefault="00F40681" w:rsidP="00D341F6">
      <w:pPr>
        <w:spacing w:after="0"/>
        <w:jc w:val="both"/>
        <w:rPr>
          <w:rFonts w:ascii="Arial" w:hAnsi="Arial" w:cs="Arial"/>
          <w:b/>
        </w:rPr>
      </w:pPr>
    </w:p>
    <w:p w14:paraId="141008EB" w14:textId="77777777" w:rsidR="00F40681" w:rsidRDefault="00F40681" w:rsidP="00D341F6">
      <w:pPr>
        <w:spacing w:after="0"/>
        <w:jc w:val="both"/>
        <w:rPr>
          <w:rFonts w:ascii="Arial" w:hAnsi="Arial" w:cs="Arial"/>
          <w:b/>
        </w:rPr>
      </w:pPr>
    </w:p>
    <w:p w14:paraId="4632D2D9" w14:textId="77777777" w:rsidR="00F40681" w:rsidRDefault="00F40681" w:rsidP="00D341F6">
      <w:pPr>
        <w:spacing w:after="0"/>
        <w:jc w:val="both"/>
        <w:rPr>
          <w:rFonts w:ascii="Arial" w:hAnsi="Arial" w:cs="Arial"/>
          <w:b/>
        </w:rPr>
      </w:pPr>
    </w:p>
    <w:p w14:paraId="26CFA081" w14:textId="77777777" w:rsidR="00F40681" w:rsidRDefault="00F40681" w:rsidP="00D341F6">
      <w:pPr>
        <w:spacing w:after="0"/>
        <w:jc w:val="both"/>
        <w:rPr>
          <w:rFonts w:ascii="Arial" w:hAnsi="Arial" w:cs="Arial"/>
          <w:b/>
        </w:rPr>
      </w:pPr>
    </w:p>
    <w:p w14:paraId="064D4E42" w14:textId="77777777" w:rsidR="00F40681" w:rsidRDefault="00F40681" w:rsidP="00D341F6">
      <w:pPr>
        <w:spacing w:after="0"/>
        <w:jc w:val="both"/>
        <w:rPr>
          <w:rFonts w:ascii="Arial" w:hAnsi="Arial" w:cs="Arial"/>
          <w:b/>
        </w:rPr>
      </w:pPr>
    </w:p>
    <w:p w14:paraId="5EBFE1D6" w14:textId="77777777" w:rsidR="00F40681" w:rsidRDefault="00F40681" w:rsidP="00D341F6">
      <w:pPr>
        <w:spacing w:after="0"/>
        <w:jc w:val="both"/>
        <w:rPr>
          <w:rFonts w:ascii="Arial" w:hAnsi="Arial" w:cs="Arial"/>
          <w:b/>
        </w:rPr>
      </w:pPr>
    </w:p>
    <w:p w14:paraId="0247C0DD" w14:textId="77777777" w:rsidR="00F40681" w:rsidRDefault="00F40681" w:rsidP="00D341F6">
      <w:pPr>
        <w:spacing w:after="0"/>
        <w:jc w:val="both"/>
        <w:rPr>
          <w:rFonts w:ascii="Arial" w:hAnsi="Arial" w:cs="Arial"/>
          <w:b/>
        </w:rPr>
      </w:pPr>
    </w:p>
    <w:p w14:paraId="15BE83E7" w14:textId="77777777" w:rsidR="00F40681" w:rsidRDefault="00F40681" w:rsidP="00D341F6">
      <w:pPr>
        <w:spacing w:after="0"/>
        <w:jc w:val="both"/>
        <w:rPr>
          <w:rFonts w:ascii="Arial" w:hAnsi="Arial" w:cs="Arial"/>
          <w:b/>
        </w:rPr>
      </w:pPr>
    </w:p>
    <w:p w14:paraId="28F43550" w14:textId="3ED1FC67" w:rsidR="00F40681" w:rsidRPr="00C5371B" w:rsidRDefault="00F40681" w:rsidP="00C5371B">
      <w:pPr>
        <w:spacing w:after="0"/>
        <w:jc w:val="both"/>
        <w:rPr>
          <w:rFonts w:ascii="Arial" w:hAnsi="Arial" w:cs="Arial"/>
          <w:b/>
        </w:rPr>
      </w:pPr>
    </w:p>
    <w:sectPr w:rsidR="00F40681" w:rsidRPr="00C5371B" w:rsidSect="00D341F6">
      <w:footerReference w:type="default" r:id="rId1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47DC1" w14:textId="77777777" w:rsidR="00113794" w:rsidRDefault="00113794" w:rsidP="00C23D1C">
      <w:pPr>
        <w:spacing w:after="0" w:line="240" w:lineRule="auto"/>
      </w:pPr>
      <w:r>
        <w:separator/>
      </w:r>
    </w:p>
  </w:endnote>
  <w:endnote w:type="continuationSeparator" w:id="0">
    <w:p w14:paraId="698760CA" w14:textId="77777777" w:rsidR="00113794" w:rsidRDefault="00113794" w:rsidP="00C2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BA53" w14:textId="7F80AAB4" w:rsidR="0081125A" w:rsidRDefault="0081125A">
    <w:pPr>
      <w:pStyle w:val="Pieddepage"/>
      <w:jc w:val="right"/>
    </w:pPr>
    <w:r>
      <w:rPr>
        <w:color w:val="4472C4" w:themeColor="accent1"/>
        <w:sz w:val="20"/>
        <w:szCs w:val="20"/>
      </w:rPr>
      <w:t xml:space="preserve">2GATL – POINT ECONOMIQUE ET JURIDIQUE 2 – SYNTHESE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0C395FDD" w14:textId="77777777" w:rsidR="0081125A" w:rsidRDefault="008112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BAA72" w14:textId="77777777" w:rsidR="00113794" w:rsidRDefault="00113794" w:rsidP="00C23D1C">
      <w:pPr>
        <w:spacing w:after="0" w:line="240" w:lineRule="auto"/>
      </w:pPr>
      <w:r>
        <w:separator/>
      </w:r>
    </w:p>
  </w:footnote>
  <w:footnote w:type="continuationSeparator" w:id="0">
    <w:p w14:paraId="0AC0F760" w14:textId="77777777" w:rsidR="00113794" w:rsidRDefault="00113794" w:rsidP="00C23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8pt;height:10.8pt" o:bullet="t">
        <v:imagedata r:id="rId1" o:title="msoAF10"/>
      </v:shape>
    </w:pict>
  </w:numPicBullet>
  <w:abstractNum w:abstractNumId="0" w15:restartNumberingAfterBreak="0">
    <w:nsid w:val="006E1B6C"/>
    <w:multiLevelType w:val="hybridMultilevel"/>
    <w:tmpl w:val="3CCA6CDE"/>
    <w:lvl w:ilvl="0" w:tplc="D9181606">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04188"/>
    <w:multiLevelType w:val="hybridMultilevel"/>
    <w:tmpl w:val="13725670"/>
    <w:lvl w:ilvl="0" w:tplc="8C38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A56807"/>
    <w:multiLevelType w:val="hybridMultilevel"/>
    <w:tmpl w:val="37D8D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6E2293"/>
    <w:multiLevelType w:val="hybridMultilevel"/>
    <w:tmpl w:val="5980D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551E1"/>
    <w:multiLevelType w:val="hybridMultilevel"/>
    <w:tmpl w:val="DD2EA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2B76BD"/>
    <w:multiLevelType w:val="hybridMultilevel"/>
    <w:tmpl w:val="3C2E20E6"/>
    <w:lvl w:ilvl="0" w:tplc="7AEA081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FE35F0"/>
    <w:multiLevelType w:val="hybridMultilevel"/>
    <w:tmpl w:val="6BF647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DE3107"/>
    <w:multiLevelType w:val="hybridMultilevel"/>
    <w:tmpl w:val="CBE6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BB55DA8"/>
    <w:multiLevelType w:val="hybridMultilevel"/>
    <w:tmpl w:val="8F8C79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A94B89"/>
    <w:multiLevelType w:val="hybridMultilevel"/>
    <w:tmpl w:val="3062A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77722F"/>
    <w:multiLevelType w:val="multilevel"/>
    <w:tmpl w:val="7EF02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35B1227"/>
    <w:multiLevelType w:val="hybridMultilevel"/>
    <w:tmpl w:val="D3BC4C06"/>
    <w:lvl w:ilvl="0" w:tplc="040C0017">
      <w:start w:val="1"/>
      <w:numFmt w:val="low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7AA381B"/>
    <w:multiLevelType w:val="hybridMultilevel"/>
    <w:tmpl w:val="63587C4E"/>
    <w:lvl w:ilvl="0" w:tplc="040C0015">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6AAA3E62"/>
    <w:multiLevelType w:val="hybridMultilevel"/>
    <w:tmpl w:val="73ECB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1B3F88"/>
    <w:multiLevelType w:val="hybridMultilevel"/>
    <w:tmpl w:val="0F1C011C"/>
    <w:lvl w:ilvl="0" w:tplc="CFFEF5C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533D38"/>
    <w:multiLevelType w:val="hybridMultilevel"/>
    <w:tmpl w:val="2EAE52E0"/>
    <w:lvl w:ilvl="0" w:tplc="BA7EE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AA734E"/>
    <w:multiLevelType w:val="hybridMultilevel"/>
    <w:tmpl w:val="141E255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20435589">
    <w:abstractNumId w:val="15"/>
  </w:num>
  <w:num w:numId="2" w16cid:durableId="25637897">
    <w:abstractNumId w:val="1"/>
  </w:num>
  <w:num w:numId="3" w16cid:durableId="847670288">
    <w:abstractNumId w:val="8"/>
  </w:num>
  <w:num w:numId="4" w16cid:durableId="2116053152">
    <w:abstractNumId w:val="14"/>
  </w:num>
  <w:num w:numId="5" w16cid:durableId="1518541407">
    <w:abstractNumId w:val="12"/>
  </w:num>
  <w:num w:numId="6" w16cid:durableId="61026261">
    <w:abstractNumId w:val="0"/>
  </w:num>
  <w:num w:numId="7" w16cid:durableId="285698527">
    <w:abstractNumId w:val="4"/>
  </w:num>
  <w:num w:numId="8" w16cid:durableId="17200578">
    <w:abstractNumId w:val="6"/>
  </w:num>
  <w:num w:numId="9" w16cid:durableId="1509981205">
    <w:abstractNumId w:val="16"/>
  </w:num>
  <w:num w:numId="10" w16cid:durableId="1007946277">
    <w:abstractNumId w:val="9"/>
  </w:num>
  <w:num w:numId="11" w16cid:durableId="1124083809">
    <w:abstractNumId w:val="5"/>
  </w:num>
  <w:num w:numId="12" w16cid:durableId="1756703850">
    <w:abstractNumId w:val="13"/>
  </w:num>
  <w:num w:numId="13" w16cid:durableId="2141066173">
    <w:abstractNumId w:val="2"/>
  </w:num>
  <w:num w:numId="14" w16cid:durableId="663044481">
    <w:abstractNumId w:val="11"/>
  </w:num>
  <w:num w:numId="15" w16cid:durableId="1304893779">
    <w:abstractNumId w:val="7"/>
  </w:num>
  <w:num w:numId="16" w16cid:durableId="677467650">
    <w:abstractNumId w:val="3"/>
  </w:num>
  <w:num w:numId="17" w16cid:durableId="1314018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7B"/>
    <w:rsid w:val="00084E85"/>
    <w:rsid w:val="00113794"/>
    <w:rsid w:val="001B7B81"/>
    <w:rsid w:val="00313C15"/>
    <w:rsid w:val="00500FA5"/>
    <w:rsid w:val="00527AF8"/>
    <w:rsid w:val="005652F5"/>
    <w:rsid w:val="00645EE2"/>
    <w:rsid w:val="007E427B"/>
    <w:rsid w:val="0081125A"/>
    <w:rsid w:val="0097241C"/>
    <w:rsid w:val="009E5438"/>
    <w:rsid w:val="00BB77FA"/>
    <w:rsid w:val="00C23D1C"/>
    <w:rsid w:val="00C44B63"/>
    <w:rsid w:val="00C5371B"/>
    <w:rsid w:val="00D341F6"/>
    <w:rsid w:val="00E0767E"/>
    <w:rsid w:val="00F40681"/>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E7FD"/>
  <w15:chartTrackingRefBased/>
  <w15:docId w15:val="{6976D849-7F40-4BEA-BFFF-467480A2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7B"/>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E427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427B"/>
    <w:pPr>
      <w:ind w:left="720"/>
      <w:contextualSpacing/>
    </w:pPr>
  </w:style>
  <w:style w:type="paragraph" w:styleId="En-tte">
    <w:name w:val="header"/>
    <w:basedOn w:val="Normal"/>
    <w:link w:val="En-tteCar"/>
    <w:uiPriority w:val="99"/>
    <w:unhideWhenUsed/>
    <w:rsid w:val="00C23D1C"/>
    <w:pPr>
      <w:tabs>
        <w:tab w:val="center" w:pos="4536"/>
        <w:tab w:val="right" w:pos="9072"/>
      </w:tabs>
      <w:spacing w:after="0" w:line="240" w:lineRule="auto"/>
    </w:pPr>
  </w:style>
  <w:style w:type="character" w:customStyle="1" w:styleId="En-tteCar">
    <w:name w:val="En-tête Car"/>
    <w:basedOn w:val="Policepardfaut"/>
    <w:link w:val="En-tte"/>
    <w:uiPriority w:val="99"/>
    <w:rsid w:val="00C23D1C"/>
    <w:rPr>
      <w:rFonts w:asciiTheme="minorHAnsi" w:hAnsiTheme="minorHAnsi"/>
    </w:rPr>
  </w:style>
  <w:style w:type="paragraph" w:styleId="Pieddepage">
    <w:name w:val="footer"/>
    <w:basedOn w:val="Normal"/>
    <w:link w:val="PieddepageCar"/>
    <w:uiPriority w:val="99"/>
    <w:unhideWhenUsed/>
    <w:rsid w:val="00C23D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3D1C"/>
    <w:rPr>
      <w:rFonts w:asciiTheme="minorHAnsi" w:hAnsiTheme="minorHAnsi"/>
    </w:rPr>
  </w:style>
  <w:style w:type="paragraph" w:styleId="NormalWeb">
    <w:name w:val="Normal (Web)"/>
    <w:basedOn w:val="Normal"/>
    <w:uiPriority w:val="99"/>
    <w:unhideWhenUsed/>
    <w:rsid w:val="00D341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341F6"/>
    <w:rPr>
      <w:b/>
      <w:bCs/>
    </w:rPr>
  </w:style>
  <w:style w:type="character" w:styleId="Lienhypertexte">
    <w:name w:val="Hyperlink"/>
    <w:basedOn w:val="Policepardfaut"/>
    <w:uiPriority w:val="99"/>
    <w:semiHidden/>
    <w:unhideWhenUsed/>
    <w:rsid w:val="00D34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pie.org/Dictionnaire/Droit.ht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oupie.org/Dictionnaire/Puissance.ht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upie.org/Dictionnaire/Eta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oupie.org/Dictionnaire/Norme.htm" TargetMode="External"/><Relationship Id="rId4" Type="http://schemas.openxmlformats.org/officeDocument/2006/relationships/webSettings" Target="webSettings.xml"/><Relationship Id="rId9" Type="http://schemas.openxmlformats.org/officeDocument/2006/relationships/hyperlink" Target="http://www.toupie.org/Dictionnaire/Respect.htm"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2GATL – POINT ECO 2 – L’ORGANISATION JURIDICTIONNELLE - SYNTHESE</dc:creator>
  <cp:keywords/>
  <dc:description/>
  <cp:lastModifiedBy>JEREMY</cp:lastModifiedBy>
  <cp:revision>4</cp:revision>
  <cp:lastPrinted>2019-06-15T08:06:00Z</cp:lastPrinted>
  <dcterms:created xsi:type="dcterms:W3CDTF">2024-05-19T06:48:00Z</dcterms:created>
  <dcterms:modified xsi:type="dcterms:W3CDTF">2024-05-19T06:49:00Z</dcterms:modified>
</cp:coreProperties>
</file>