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94" w:type="dxa"/>
        <w:tblLook w:val="04A0" w:firstRow="1" w:lastRow="0" w:firstColumn="1" w:lastColumn="0" w:noHBand="0" w:noVBand="1"/>
      </w:tblPr>
      <w:tblGrid>
        <w:gridCol w:w="4530"/>
        <w:gridCol w:w="4764"/>
      </w:tblGrid>
      <w:tr w:rsidR="00B87C8B" w:rsidRPr="00B87C8B" w14:paraId="466097C5" w14:textId="77777777" w:rsidTr="00A61C30">
        <w:tc>
          <w:tcPr>
            <w:tcW w:w="4530" w:type="dxa"/>
            <w:shd w:val="clear" w:color="auto" w:fill="D9D9D9" w:themeFill="background1" w:themeFillShade="D9"/>
            <w:vAlign w:val="center"/>
          </w:tcPr>
          <w:p w14:paraId="4A49A9F8" w14:textId="77777777" w:rsidR="00F365DE" w:rsidRPr="00B87C8B" w:rsidRDefault="00F365DE" w:rsidP="00F365DE">
            <w:pPr>
              <w:jc w:val="center"/>
              <w:rPr>
                <w:rFonts w:ascii="Arial" w:eastAsia="Times New Roman" w:hAnsi="Arial" w:cs="Arial"/>
                <w:b/>
                <w:bCs/>
                <w:color w:val="006666"/>
                <w:sz w:val="24"/>
                <w:szCs w:val="24"/>
                <w:lang w:eastAsia="fr-FR"/>
              </w:rPr>
            </w:pPr>
            <w:r w:rsidRPr="00B87C8B">
              <w:rPr>
                <w:rFonts w:ascii="Arial" w:eastAsia="Times New Roman" w:hAnsi="Arial" w:cs="Arial"/>
                <w:b/>
                <w:bCs/>
                <w:color w:val="006666"/>
                <w:sz w:val="24"/>
                <w:szCs w:val="24"/>
                <w:lang w:eastAsia="fr-FR"/>
              </w:rPr>
              <w:t>Seconde baccalauréat professionnel</w:t>
            </w:r>
          </w:p>
          <w:p w14:paraId="070A6BB5" w14:textId="3B04D20B" w:rsidR="00F365DE" w:rsidRPr="00B87C8B" w:rsidRDefault="00B87C8B" w:rsidP="00F365DE">
            <w:pPr>
              <w:jc w:val="center"/>
              <w:rPr>
                <w:rFonts w:ascii="Arial" w:eastAsia="Times New Roman" w:hAnsi="Arial" w:cs="Arial"/>
                <w:b/>
                <w:color w:val="006666"/>
                <w:sz w:val="24"/>
                <w:szCs w:val="24"/>
                <w:lang w:eastAsia="fr-FR"/>
              </w:rPr>
            </w:pPr>
            <w:r w:rsidRPr="00B87C8B">
              <w:rPr>
                <w:rFonts w:ascii="Arial" w:eastAsia="Times New Roman" w:hAnsi="Arial" w:cs="Arial"/>
                <w:b/>
                <w:bCs/>
                <w:color w:val="006666"/>
                <w:sz w:val="24"/>
                <w:szCs w:val="24"/>
                <w:lang w:eastAsia="fr-FR"/>
              </w:rPr>
              <w:t>GATL</w:t>
            </w:r>
          </w:p>
        </w:tc>
        <w:tc>
          <w:tcPr>
            <w:tcW w:w="4764" w:type="dxa"/>
            <w:shd w:val="clear" w:color="auto" w:fill="D9D9D9" w:themeFill="background1" w:themeFillShade="D9"/>
            <w:vAlign w:val="center"/>
          </w:tcPr>
          <w:p w14:paraId="35D2C5B6" w14:textId="77777777" w:rsidR="00F365DE" w:rsidRPr="00B87C8B" w:rsidRDefault="00F365DE" w:rsidP="00F365DE">
            <w:pPr>
              <w:jc w:val="center"/>
              <w:rPr>
                <w:rFonts w:ascii="Arial" w:eastAsia="Times New Roman" w:hAnsi="Arial" w:cs="Arial"/>
                <w:b/>
                <w:bCs/>
                <w:color w:val="006666"/>
                <w:sz w:val="24"/>
                <w:szCs w:val="24"/>
                <w:lang w:eastAsia="fr-FR"/>
              </w:rPr>
            </w:pPr>
            <w:r w:rsidRPr="00B87C8B">
              <w:rPr>
                <w:rFonts w:ascii="Arial" w:eastAsia="Times New Roman" w:hAnsi="Arial" w:cs="Arial"/>
                <w:b/>
                <w:bCs/>
                <w:color w:val="006666"/>
                <w:sz w:val="24"/>
                <w:szCs w:val="24"/>
                <w:lang w:eastAsia="fr-FR"/>
              </w:rPr>
              <w:t>Point économique et juridique 4</w:t>
            </w:r>
          </w:p>
          <w:p w14:paraId="71F7B17A" w14:textId="77777777" w:rsidR="00F365DE" w:rsidRPr="00B87C8B" w:rsidRDefault="00F365DE" w:rsidP="00F365DE">
            <w:pPr>
              <w:jc w:val="center"/>
              <w:rPr>
                <w:rFonts w:ascii="Arial" w:eastAsia="Times New Roman" w:hAnsi="Arial" w:cs="Arial"/>
                <w:b/>
                <w:bCs/>
                <w:color w:val="006666"/>
                <w:sz w:val="24"/>
                <w:szCs w:val="24"/>
                <w:lang w:eastAsia="fr-FR"/>
              </w:rPr>
            </w:pPr>
            <w:r w:rsidRPr="00B87C8B">
              <w:rPr>
                <w:rFonts w:ascii="Arial" w:eastAsia="Times New Roman" w:hAnsi="Arial" w:cs="Arial"/>
                <w:b/>
                <w:bCs/>
                <w:color w:val="006666"/>
                <w:sz w:val="24"/>
                <w:szCs w:val="24"/>
                <w:lang w:eastAsia="fr-FR"/>
              </w:rPr>
              <w:t>SYNTHÈSE</w:t>
            </w:r>
          </w:p>
        </w:tc>
      </w:tr>
      <w:tr w:rsidR="00F365DE" w:rsidRPr="00F365DE" w14:paraId="1FB7F0EC" w14:textId="77777777" w:rsidTr="00665728">
        <w:tc>
          <w:tcPr>
            <w:tcW w:w="9294" w:type="dxa"/>
            <w:gridSpan w:val="2"/>
          </w:tcPr>
          <w:p w14:paraId="02AB438D" w14:textId="77777777" w:rsidR="00F365DE" w:rsidRPr="00F365DE" w:rsidRDefault="00F365DE" w:rsidP="00F365DE">
            <w:pPr>
              <w:jc w:val="both"/>
              <w:rPr>
                <w:rFonts w:ascii="Arial" w:eastAsia="Times New Roman" w:hAnsi="Arial" w:cs="Arial"/>
                <w:b/>
                <w:lang w:eastAsia="fr-FR"/>
              </w:rPr>
            </w:pPr>
            <w:r w:rsidRPr="00F365DE">
              <w:rPr>
                <w:rFonts w:ascii="Arial" w:eastAsia="Times New Roman" w:hAnsi="Arial" w:cs="Arial"/>
                <w:b/>
                <w:lang w:eastAsia="fr-FR"/>
              </w:rPr>
              <w:t>Question : quelles sont les principales tendances de consommation des ménages ?</w:t>
            </w:r>
          </w:p>
          <w:p w14:paraId="7F4B29AC" w14:textId="06570E89" w:rsidR="00F365DE" w:rsidRPr="00F365DE" w:rsidRDefault="00F365DE" w:rsidP="00F365DE">
            <w:pPr>
              <w:numPr>
                <w:ilvl w:val="0"/>
                <w:numId w:val="1"/>
              </w:numPr>
              <w:ind w:left="714" w:hanging="357"/>
              <w:jc w:val="both"/>
              <w:rPr>
                <w:rFonts w:ascii="Arial" w:eastAsia="Times New Roman" w:hAnsi="Arial" w:cs="Arial"/>
                <w:lang w:eastAsia="fr-FR"/>
              </w:rPr>
            </w:pPr>
            <w:r w:rsidRPr="00F365DE">
              <w:rPr>
                <w:rFonts w:ascii="Arial" w:eastAsia="Times New Roman" w:hAnsi="Arial" w:cs="Arial"/>
                <w:lang w:eastAsia="fr-FR"/>
              </w:rPr>
              <w:t>Identifier les principaux postes budgétaires des ménages</w:t>
            </w:r>
          </w:p>
          <w:p w14:paraId="018AA733" w14:textId="54D543C2" w:rsidR="00F365DE" w:rsidRPr="00F365DE" w:rsidRDefault="00F365DE" w:rsidP="00F365DE">
            <w:pPr>
              <w:numPr>
                <w:ilvl w:val="0"/>
                <w:numId w:val="1"/>
              </w:numPr>
              <w:ind w:left="714" w:hanging="357"/>
              <w:jc w:val="both"/>
              <w:rPr>
                <w:rFonts w:ascii="Arial" w:eastAsia="Times New Roman" w:hAnsi="Arial" w:cs="Arial"/>
                <w:lang w:eastAsia="fr-FR"/>
              </w:rPr>
            </w:pPr>
            <w:r w:rsidRPr="00F365DE">
              <w:rPr>
                <w:rFonts w:ascii="Arial" w:eastAsia="Times New Roman" w:hAnsi="Arial" w:cs="Arial"/>
                <w:lang w:eastAsia="fr-FR"/>
              </w:rPr>
              <w:t>Commenter l’évolution de la consommation des ménages</w:t>
            </w:r>
          </w:p>
          <w:p w14:paraId="3F3CEF5F" w14:textId="149546D7" w:rsidR="00F365DE" w:rsidRPr="00F365DE" w:rsidRDefault="00F365DE" w:rsidP="00F365DE">
            <w:pPr>
              <w:numPr>
                <w:ilvl w:val="0"/>
                <w:numId w:val="1"/>
              </w:numPr>
              <w:ind w:left="714" w:hanging="357"/>
              <w:jc w:val="both"/>
              <w:rPr>
                <w:rFonts w:ascii="Arial" w:eastAsia="Times New Roman" w:hAnsi="Arial" w:cs="Arial"/>
                <w:lang w:eastAsia="fr-FR"/>
              </w:rPr>
            </w:pPr>
            <w:r w:rsidRPr="00F365DE">
              <w:rPr>
                <w:rFonts w:ascii="Arial" w:eastAsia="Times New Roman" w:hAnsi="Arial" w:cs="Arial"/>
                <w:lang w:eastAsia="fr-FR"/>
              </w:rPr>
              <w:t>Repérer les différentes formes d’épargne</w:t>
            </w:r>
          </w:p>
        </w:tc>
      </w:tr>
    </w:tbl>
    <w:p w14:paraId="6EA251C4" w14:textId="25F5D63C" w:rsidR="00F365DE" w:rsidRPr="00F365DE" w:rsidRDefault="00F365DE" w:rsidP="00F365DE">
      <w:pPr>
        <w:pStyle w:val="NormalWeb"/>
        <w:spacing w:before="0" w:beforeAutospacing="0" w:after="0" w:afterAutospacing="0"/>
        <w:jc w:val="both"/>
        <w:rPr>
          <w:rFonts w:ascii="Arial" w:hAnsi="Arial" w:cs="Arial"/>
          <w:b/>
          <w:bCs/>
          <w:sz w:val="16"/>
          <w:szCs w:val="16"/>
        </w:rPr>
      </w:pPr>
    </w:p>
    <w:p w14:paraId="6427C9B5" w14:textId="2372D14E" w:rsidR="00F365DE" w:rsidRPr="00F365DE" w:rsidRDefault="00F365DE" w:rsidP="00F365DE">
      <w:pPr>
        <w:pStyle w:val="NormalWeb"/>
        <w:numPr>
          <w:ilvl w:val="0"/>
          <w:numId w:val="2"/>
        </w:numPr>
        <w:spacing w:before="0" w:beforeAutospacing="0" w:after="0" w:afterAutospacing="0"/>
        <w:jc w:val="both"/>
        <w:rPr>
          <w:rFonts w:ascii="Arial" w:hAnsi="Arial" w:cs="Arial"/>
          <w:b/>
          <w:bCs/>
          <w:sz w:val="22"/>
          <w:szCs w:val="22"/>
          <w:u w:val="single"/>
        </w:rPr>
      </w:pPr>
      <w:r w:rsidRPr="00F365DE">
        <w:rPr>
          <w:rFonts w:ascii="Arial" w:hAnsi="Arial" w:cs="Arial"/>
          <w:b/>
          <w:bCs/>
          <w:sz w:val="22"/>
          <w:szCs w:val="22"/>
          <w:u w:val="single"/>
        </w:rPr>
        <w:t>Définition de la consommation</w:t>
      </w:r>
    </w:p>
    <w:p w14:paraId="6572082F" w14:textId="77777777" w:rsidR="00F365DE" w:rsidRPr="00F365DE" w:rsidRDefault="00F365DE" w:rsidP="00F365DE">
      <w:pPr>
        <w:pStyle w:val="NormalWeb"/>
        <w:spacing w:before="0" w:beforeAutospacing="0" w:after="0" w:afterAutospacing="0"/>
        <w:jc w:val="both"/>
        <w:rPr>
          <w:rFonts w:ascii="Arial" w:hAnsi="Arial" w:cs="Arial"/>
          <w:sz w:val="12"/>
          <w:szCs w:val="12"/>
        </w:rPr>
      </w:pPr>
    </w:p>
    <w:p w14:paraId="62B0CE56" w14:textId="3D4E51C0" w:rsidR="00F365DE" w:rsidRPr="00EC2BC0" w:rsidRDefault="00F365DE" w:rsidP="00F365DE">
      <w:pPr>
        <w:pStyle w:val="NormalWeb"/>
        <w:spacing w:before="0" w:beforeAutospacing="0" w:after="0" w:afterAutospacing="0"/>
        <w:jc w:val="both"/>
        <w:rPr>
          <w:rFonts w:ascii="Arial" w:hAnsi="Arial" w:cs="Arial"/>
          <w:sz w:val="22"/>
          <w:szCs w:val="22"/>
        </w:rPr>
      </w:pPr>
      <w:r w:rsidRPr="00F365DE">
        <w:rPr>
          <w:rFonts w:ascii="Arial" w:hAnsi="Arial" w:cs="Arial"/>
          <w:sz w:val="22"/>
          <w:szCs w:val="22"/>
        </w:rPr>
        <w:t>La consommation est l’utilisation d’un bien ou d’un service acheté sur un marché. Le produit ou le service sera détruit immédiatement (biens non durables) ou progressivement (biens durables).</w:t>
      </w:r>
      <w:r w:rsidR="00EC2BC0">
        <w:rPr>
          <w:rFonts w:ascii="Arial" w:hAnsi="Arial" w:cs="Arial"/>
          <w:sz w:val="22"/>
          <w:szCs w:val="22"/>
        </w:rPr>
        <w:t xml:space="preserve"> Il faut distinguer la </w:t>
      </w:r>
      <w:r w:rsidR="00EC2BC0" w:rsidRPr="00EC2BC0">
        <w:rPr>
          <w:rFonts w:ascii="Arial" w:hAnsi="Arial" w:cs="Arial"/>
          <w:b/>
          <w:bCs/>
          <w:sz w:val="22"/>
          <w:szCs w:val="22"/>
        </w:rPr>
        <w:t>consommation marchande</w:t>
      </w:r>
      <w:r w:rsidR="00EC2BC0">
        <w:rPr>
          <w:rFonts w:ascii="Arial" w:hAnsi="Arial" w:cs="Arial"/>
          <w:b/>
          <w:bCs/>
          <w:sz w:val="22"/>
          <w:szCs w:val="22"/>
        </w:rPr>
        <w:t xml:space="preserve"> </w:t>
      </w:r>
      <w:r w:rsidR="00EC2BC0" w:rsidRPr="00EC2BC0">
        <w:rPr>
          <w:rFonts w:ascii="Arial" w:hAnsi="Arial" w:cs="Arial"/>
          <w:sz w:val="22"/>
          <w:szCs w:val="22"/>
        </w:rPr>
        <w:t>(au prix du marché)</w:t>
      </w:r>
      <w:r w:rsidR="00EC2BC0">
        <w:rPr>
          <w:rFonts w:ascii="Arial" w:hAnsi="Arial" w:cs="Arial"/>
          <w:sz w:val="22"/>
          <w:szCs w:val="22"/>
        </w:rPr>
        <w:t xml:space="preserve"> de la </w:t>
      </w:r>
      <w:r w:rsidR="00EC2BC0" w:rsidRPr="00EC2BC0">
        <w:rPr>
          <w:rFonts w:ascii="Arial" w:hAnsi="Arial" w:cs="Arial"/>
          <w:b/>
          <w:bCs/>
          <w:sz w:val="22"/>
          <w:szCs w:val="22"/>
        </w:rPr>
        <w:t>consommation non-marchande</w:t>
      </w:r>
      <w:r w:rsidR="00EC2BC0">
        <w:rPr>
          <w:rFonts w:ascii="Arial" w:hAnsi="Arial" w:cs="Arial"/>
          <w:b/>
          <w:bCs/>
          <w:sz w:val="22"/>
          <w:szCs w:val="22"/>
        </w:rPr>
        <w:t xml:space="preserve"> (</w:t>
      </w:r>
      <w:r w:rsidR="00EC2BC0" w:rsidRPr="00EC2BC0">
        <w:rPr>
          <w:rFonts w:ascii="Arial" w:hAnsi="Arial" w:cs="Arial"/>
          <w:sz w:val="22"/>
          <w:szCs w:val="22"/>
        </w:rPr>
        <w:t xml:space="preserve">autoproduit, gratuit ou à un prix inférieur à son réel coût). </w:t>
      </w:r>
    </w:p>
    <w:p w14:paraId="33E89C39" w14:textId="25AAF429" w:rsidR="00F365DE" w:rsidRPr="00F365DE" w:rsidRDefault="00F365DE" w:rsidP="00F365DE">
      <w:pPr>
        <w:pStyle w:val="NormalWeb"/>
        <w:spacing w:before="0" w:beforeAutospacing="0" w:after="0" w:afterAutospacing="0"/>
        <w:jc w:val="both"/>
        <w:rPr>
          <w:rFonts w:ascii="Arial" w:hAnsi="Arial" w:cs="Arial"/>
          <w:sz w:val="14"/>
          <w:szCs w:val="14"/>
        </w:rPr>
      </w:pPr>
    </w:p>
    <w:p w14:paraId="7DBE0E85" w14:textId="4D12D7EA" w:rsidR="00F365DE" w:rsidRPr="00F365DE" w:rsidRDefault="00F365DE" w:rsidP="00F365DE">
      <w:pPr>
        <w:pStyle w:val="NormalWeb"/>
        <w:numPr>
          <w:ilvl w:val="0"/>
          <w:numId w:val="2"/>
        </w:numPr>
        <w:spacing w:before="0" w:beforeAutospacing="0" w:after="0" w:afterAutospacing="0"/>
        <w:jc w:val="both"/>
        <w:rPr>
          <w:rFonts w:ascii="Arial" w:hAnsi="Arial" w:cs="Arial"/>
          <w:b/>
          <w:bCs/>
          <w:sz w:val="22"/>
          <w:szCs w:val="22"/>
          <w:u w:val="single"/>
        </w:rPr>
      </w:pPr>
      <w:r w:rsidRPr="00F365DE">
        <w:rPr>
          <w:rFonts w:ascii="Arial" w:hAnsi="Arial" w:cs="Arial"/>
          <w:b/>
          <w:bCs/>
          <w:sz w:val="22"/>
          <w:szCs w:val="22"/>
          <w:u w:val="single"/>
        </w:rPr>
        <w:t>Le revenu disponible</w:t>
      </w:r>
    </w:p>
    <w:p w14:paraId="7F400005" w14:textId="77777777" w:rsidR="00F365DE" w:rsidRPr="00F365DE" w:rsidRDefault="00F365DE" w:rsidP="00F365DE">
      <w:pPr>
        <w:pStyle w:val="NormalWeb"/>
        <w:spacing w:before="0" w:beforeAutospacing="0" w:after="0" w:afterAutospacing="0"/>
        <w:jc w:val="both"/>
        <w:rPr>
          <w:rFonts w:ascii="Arial" w:hAnsi="Arial" w:cs="Arial"/>
          <w:color w:val="FF0000"/>
          <w:sz w:val="22"/>
          <w:szCs w:val="22"/>
          <w:u w:val="single"/>
        </w:rPr>
      </w:pPr>
    </w:p>
    <w:p w14:paraId="554DBBD2" w14:textId="7DA35B25" w:rsidR="00F365DE" w:rsidRPr="00F365DE" w:rsidRDefault="00F365DE" w:rsidP="00F365DE">
      <w:pPr>
        <w:pStyle w:val="NormalWeb"/>
        <w:spacing w:before="0" w:beforeAutospacing="0" w:after="0" w:afterAutospacing="0"/>
        <w:jc w:val="both"/>
        <w:rPr>
          <w:rStyle w:val="e24kjd"/>
          <w:rFonts w:ascii="Arial" w:hAnsi="Arial" w:cs="Arial"/>
          <w:sz w:val="22"/>
          <w:szCs w:val="22"/>
        </w:rPr>
      </w:pPr>
      <w:r w:rsidRPr="00F365DE">
        <w:rPr>
          <w:rStyle w:val="e24kjd"/>
          <w:rFonts w:ascii="Arial" w:hAnsi="Arial" w:cs="Arial"/>
          <w:b/>
          <w:bCs/>
          <w:sz w:val="22"/>
          <w:szCs w:val="22"/>
        </w:rPr>
        <w:t>Le revenu disponible des ménages</w:t>
      </w:r>
      <w:r w:rsidRPr="00F365DE">
        <w:rPr>
          <w:rStyle w:val="e24kjd"/>
          <w:rFonts w:ascii="Arial" w:hAnsi="Arial" w:cs="Arial"/>
          <w:sz w:val="22"/>
          <w:szCs w:val="22"/>
        </w:rPr>
        <w:t xml:space="preserve"> correspond au </w:t>
      </w:r>
      <w:r w:rsidRPr="00F365DE">
        <w:rPr>
          <w:rStyle w:val="e24kjd"/>
          <w:rFonts w:ascii="Arial" w:hAnsi="Arial" w:cs="Arial"/>
          <w:b/>
          <w:bCs/>
          <w:sz w:val="22"/>
          <w:szCs w:val="22"/>
        </w:rPr>
        <w:t>revenu</w:t>
      </w:r>
      <w:r w:rsidRPr="00F365DE">
        <w:rPr>
          <w:rStyle w:val="e24kjd"/>
          <w:rFonts w:ascii="Arial" w:hAnsi="Arial" w:cs="Arial"/>
          <w:sz w:val="22"/>
          <w:szCs w:val="22"/>
        </w:rPr>
        <w:t xml:space="preserve"> dont disposent les </w:t>
      </w:r>
      <w:r w:rsidRPr="00F365DE">
        <w:rPr>
          <w:rStyle w:val="e24kjd"/>
          <w:rFonts w:ascii="Arial" w:hAnsi="Arial" w:cs="Arial"/>
          <w:b/>
          <w:bCs/>
          <w:sz w:val="22"/>
          <w:szCs w:val="22"/>
        </w:rPr>
        <w:t>ménages</w:t>
      </w:r>
      <w:r w:rsidRPr="00F365DE">
        <w:rPr>
          <w:rStyle w:val="e24kjd"/>
          <w:rFonts w:ascii="Arial" w:hAnsi="Arial" w:cs="Arial"/>
          <w:sz w:val="22"/>
          <w:szCs w:val="22"/>
        </w:rPr>
        <w:t xml:space="preserve"> pour consommer. Il s'obtient en prenant les revenus primaires des </w:t>
      </w:r>
      <w:r w:rsidRPr="00F365DE">
        <w:rPr>
          <w:rStyle w:val="e24kjd"/>
          <w:rFonts w:ascii="Arial" w:hAnsi="Arial" w:cs="Arial"/>
          <w:b/>
          <w:bCs/>
          <w:sz w:val="22"/>
          <w:szCs w:val="22"/>
        </w:rPr>
        <w:t>ménages</w:t>
      </w:r>
      <w:r w:rsidRPr="00F365DE">
        <w:rPr>
          <w:rStyle w:val="e24kjd"/>
          <w:rFonts w:ascii="Arial" w:hAnsi="Arial" w:cs="Arial"/>
          <w:sz w:val="22"/>
          <w:szCs w:val="22"/>
        </w:rPr>
        <w:t xml:space="preserve">, auxquels on soustrait les prélèvements obligatoires, c'est-à-dire les impôts et les cotisations sociales prélevées sur le salaire des </w:t>
      </w:r>
      <w:r w:rsidRPr="00F365DE">
        <w:rPr>
          <w:rStyle w:val="e24kjd"/>
          <w:rFonts w:ascii="Arial" w:hAnsi="Arial" w:cs="Arial"/>
          <w:b/>
          <w:bCs/>
          <w:sz w:val="22"/>
          <w:szCs w:val="22"/>
        </w:rPr>
        <w:t>ménages</w:t>
      </w:r>
      <w:r w:rsidRPr="00F365DE">
        <w:rPr>
          <w:rStyle w:val="e24kjd"/>
          <w:rFonts w:ascii="Arial" w:hAnsi="Arial" w:cs="Arial"/>
          <w:sz w:val="22"/>
          <w:szCs w:val="22"/>
        </w:rPr>
        <w:t>.</w:t>
      </w:r>
    </w:p>
    <w:p w14:paraId="222B58CF" w14:textId="77777777" w:rsidR="00F365DE" w:rsidRPr="00F365DE" w:rsidRDefault="00F365DE" w:rsidP="00F365DE">
      <w:pPr>
        <w:pStyle w:val="NormalWeb"/>
        <w:spacing w:before="0" w:beforeAutospacing="0" w:after="0" w:afterAutospacing="0"/>
        <w:jc w:val="both"/>
        <w:rPr>
          <w:rStyle w:val="e24kjd"/>
          <w:rFonts w:ascii="Arial" w:hAnsi="Arial" w:cs="Arial"/>
          <w:sz w:val="22"/>
          <w:szCs w:val="22"/>
        </w:rPr>
      </w:pPr>
    </w:p>
    <w:p w14:paraId="73FAB7CA" w14:textId="77777777" w:rsidR="00F365DE" w:rsidRPr="00F365DE" w:rsidRDefault="00F365DE" w:rsidP="00F365DE">
      <w:pPr>
        <w:pStyle w:val="NormalWeb"/>
        <w:spacing w:before="0" w:beforeAutospacing="0" w:after="0" w:afterAutospacing="0"/>
        <w:jc w:val="both"/>
        <w:rPr>
          <w:rFonts w:ascii="Arial" w:hAnsi="Arial" w:cs="Arial"/>
          <w:color w:val="FF0000"/>
          <w:sz w:val="22"/>
          <w:szCs w:val="22"/>
          <w:u w:val="single"/>
        </w:rPr>
      </w:pPr>
      <w:r w:rsidRPr="00F365DE">
        <w:rPr>
          <w:rFonts w:ascii="Arial" w:hAnsi="Arial" w:cs="Arial"/>
          <w:noProof/>
          <w:color w:val="FF0000"/>
          <w:sz w:val="22"/>
          <w:szCs w:val="22"/>
        </w:rPr>
        <w:drawing>
          <wp:anchor distT="0" distB="0" distL="114300" distR="114300" simplePos="0" relativeHeight="251658240" behindDoc="0" locked="0" layoutInCell="1" allowOverlap="1" wp14:anchorId="7AF395CB" wp14:editId="6DC67591">
            <wp:simplePos x="0" y="0"/>
            <wp:positionH relativeFrom="column">
              <wp:posOffset>666005</wp:posOffset>
            </wp:positionH>
            <wp:positionV relativeFrom="paragraph">
              <wp:posOffset>7841</wp:posOffset>
            </wp:positionV>
            <wp:extent cx="4143810" cy="2329236"/>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3810" cy="2329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9C23B" w14:textId="1F863EA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184D4966"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68057A2F"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352D5CC1"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284C1F5F" w14:textId="45E10016"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0B5C4F64" w14:textId="54272C9A"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6F5E5491" w14:textId="16B157B5"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10DF2315" w14:textId="7A4D232E"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5B519F64"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655C9319" w14:textId="1CE95C5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2B8402C5"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026B0D7F"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5FF17104" w14:textId="77777777" w:rsidR="00F365DE" w:rsidRDefault="00F365DE" w:rsidP="00F365DE">
      <w:pPr>
        <w:pStyle w:val="NormalWeb"/>
        <w:spacing w:before="0" w:beforeAutospacing="0" w:after="0" w:afterAutospacing="0"/>
        <w:jc w:val="both"/>
        <w:rPr>
          <w:rFonts w:ascii="Arial" w:hAnsi="Arial" w:cs="Arial"/>
          <w:color w:val="FF0000"/>
          <w:sz w:val="22"/>
          <w:szCs w:val="22"/>
          <w:u w:val="single"/>
        </w:rPr>
      </w:pPr>
    </w:p>
    <w:p w14:paraId="4C8982EB" w14:textId="77777777" w:rsidR="00F365DE" w:rsidRPr="00F365DE" w:rsidRDefault="00F365DE" w:rsidP="00F365DE">
      <w:pPr>
        <w:pStyle w:val="NormalWeb"/>
        <w:spacing w:before="0" w:beforeAutospacing="0" w:after="0" w:afterAutospacing="0"/>
        <w:jc w:val="both"/>
        <w:rPr>
          <w:rFonts w:ascii="Arial" w:hAnsi="Arial" w:cs="Arial"/>
          <w:color w:val="FF0000"/>
          <w:sz w:val="22"/>
          <w:szCs w:val="22"/>
          <w:u w:val="single"/>
        </w:rPr>
      </w:pPr>
    </w:p>
    <w:p w14:paraId="52704165" w14:textId="77777777" w:rsidR="00F365DE" w:rsidRPr="00CE273B" w:rsidRDefault="00F365DE" w:rsidP="00F365DE">
      <w:pPr>
        <w:pStyle w:val="NormalWeb"/>
        <w:numPr>
          <w:ilvl w:val="0"/>
          <w:numId w:val="2"/>
        </w:numPr>
        <w:spacing w:before="0" w:beforeAutospacing="0" w:after="0" w:afterAutospacing="0"/>
        <w:jc w:val="both"/>
        <w:rPr>
          <w:rFonts w:ascii="Arial" w:hAnsi="Arial" w:cs="Arial"/>
          <w:b/>
          <w:bCs/>
          <w:sz w:val="22"/>
          <w:szCs w:val="22"/>
          <w:u w:val="single"/>
        </w:rPr>
      </w:pPr>
      <w:r w:rsidRPr="00CE273B">
        <w:rPr>
          <w:rFonts w:ascii="Arial" w:hAnsi="Arial" w:cs="Arial"/>
          <w:b/>
          <w:bCs/>
          <w:sz w:val="22"/>
          <w:szCs w:val="22"/>
          <w:u w:val="single"/>
        </w:rPr>
        <w:t>La structure de consommation</w:t>
      </w:r>
    </w:p>
    <w:p w14:paraId="3789993B" w14:textId="77777777" w:rsidR="00F365DE" w:rsidRPr="00F365DE" w:rsidRDefault="00F365DE" w:rsidP="00F365DE">
      <w:pPr>
        <w:pStyle w:val="NormalWeb"/>
        <w:spacing w:before="0" w:beforeAutospacing="0" w:after="0" w:afterAutospacing="0"/>
        <w:jc w:val="both"/>
        <w:rPr>
          <w:rFonts w:ascii="Arial" w:hAnsi="Arial" w:cs="Arial"/>
          <w:sz w:val="16"/>
          <w:szCs w:val="16"/>
        </w:rPr>
      </w:pPr>
    </w:p>
    <w:p w14:paraId="34C84899" w14:textId="7E45879F" w:rsidR="00F365DE" w:rsidRPr="00F365DE" w:rsidRDefault="00F365DE" w:rsidP="00F365DE">
      <w:pPr>
        <w:pStyle w:val="NormalWeb"/>
        <w:spacing w:before="0" w:beforeAutospacing="0" w:after="0" w:afterAutospacing="0"/>
        <w:jc w:val="both"/>
        <w:rPr>
          <w:rFonts w:ascii="Arial" w:hAnsi="Arial" w:cs="Arial"/>
          <w:sz w:val="22"/>
          <w:szCs w:val="22"/>
        </w:rPr>
      </w:pPr>
      <w:r w:rsidRPr="00F365DE">
        <w:rPr>
          <w:rFonts w:ascii="Arial" w:hAnsi="Arial" w:cs="Arial"/>
          <w:sz w:val="22"/>
          <w:szCs w:val="22"/>
        </w:rPr>
        <w:t>La structure de la consommation désigne la répartition des dépenses de l’ensemble des ménages. Ils sont répertoriés généralement en 8 postes : alimentation, entretien et équipement du logement, transport, logement, habillement, santé, loisirs et culture, biens et services divers.</w:t>
      </w:r>
    </w:p>
    <w:p w14:paraId="0295D919" w14:textId="77777777" w:rsidR="00F365DE" w:rsidRDefault="00F365DE" w:rsidP="00F365DE">
      <w:pPr>
        <w:pStyle w:val="NormalWeb"/>
        <w:spacing w:before="0" w:beforeAutospacing="0" w:after="0" w:afterAutospacing="0"/>
        <w:jc w:val="both"/>
        <w:rPr>
          <w:rFonts w:ascii="Arial" w:hAnsi="Arial" w:cs="Arial"/>
          <w:sz w:val="16"/>
          <w:szCs w:val="16"/>
        </w:rPr>
      </w:pPr>
    </w:p>
    <w:p w14:paraId="61BDD781" w14:textId="39099EA6" w:rsidR="00EC2BC0" w:rsidRPr="00EC2BC0" w:rsidRDefault="00EC2BC0" w:rsidP="00EC2BC0">
      <w:pPr>
        <w:pStyle w:val="NormalWeb"/>
        <w:numPr>
          <w:ilvl w:val="0"/>
          <w:numId w:val="2"/>
        </w:numPr>
        <w:spacing w:before="0" w:beforeAutospacing="0" w:after="0" w:afterAutospacing="0"/>
        <w:jc w:val="both"/>
        <w:rPr>
          <w:rFonts w:ascii="Arial" w:hAnsi="Arial" w:cs="Arial"/>
          <w:b/>
          <w:bCs/>
          <w:sz w:val="22"/>
          <w:szCs w:val="22"/>
          <w:u w:val="single"/>
        </w:rPr>
      </w:pPr>
      <w:r w:rsidRPr="00EC2BC0">
        <w:rPr>
          <w:rFonts w:ascii="Arial" w:hAnsi="Arial" w:cs="Arial"/>
          <w:b/>
          <w:bCs/>
          <w:sz w:val="22"/>
          <w:szCs w:val="22"/>
          <w:u w:val="single"/>
        </w:rPr>
        <w:t>Les dépenses pré-engagées</w:t>
      </w:r>
    </w:p>
    <w:p w14:paraId="4C13765B" w14:textId="2C053435" w:rsidR="00EC2BC0" w:rsidRDefault="00EC2BC0" w:rsidP="00EC2BC0">
      <w:pPr>
        <w:pStyle w:val="NormalWeb"/>
        <w:spacing w:before="0" w:beforeAutospacing="0" w:after="0" w:afterAutospacing="0"/>
        <w:jc w:val="both"/>
        <w:rPr>
          <w:rFonts w:ascii="Arial" w:hAnsi="Arial" w:cs="Arial"/>
          <w:sz w:val="16"/>
          <w:szCs w:val="16"/>
        </w:rPr>
      </w:pPr>
    </w:p>
    <w:p w14:paraId="03ECCEA1" w14:textId="099406B3" w:rsidR="00EC2BC0" w:rsidRPr="00EC2BC0" w:rsidRDefault="00EC2BC0" w:rsidP="00EC2BC0">
      <w:pPr>
        <w:pStyle w:val="NormalWeb"/>
        <w:spacing w:before="0" w:beforeAutospacing="0" w:after="0" w:afterAutospacing="0"/>
        <w:jc w:val="both"/>
        <w:rPr>
          <w:rFonts w:ascii="Arial" w:hAnsi="Arial" w:cs="Arial"/>
          <w:sz w:val="22"/>
          <w:szCs w:val="22"/>
        </w:rPr>
      </w:pPr>
      <w:r w:rsidRPr="00EC2BC0">
        <w:rPr>
          <w:rFonts w:ascii="Arial" w:hAnsi="Arial" w:cs="Arial"/>
          <w:sz w:val="22"/>
          <w:szCs w:val="22"/>
        </w:rPr>
        <w:t xml:space="preserve">Ce sont des dépenses rendues obligatoires notamment par la souscription d’un contrat. Ces dépenses pèsent de plus en plus sur le budget des ménages modestes. Ces derniers doivent donc faire des arbitrages et délaisser certaines dépenses. </w:t>
      </w:r>
    </w:p>
    <w:p w14:paraId="57DA7EE5" w14:textId="77777777" w:rsidR="00EC2BC0" w:rsidRDefault="00EC2BC0" w:rsidP="00F365DE">
      <w:pPr>
        <w:pStyle w:val="NormalWeb"/>
        <w:spacing w:before="0" w:beforeAutospacing="0" w:after="0" w:afterAutospacing="0"/>
        <w:jc w:val="both"/>
        <w:rPr>
          <w:rFonts w:ascii="Arial" w:hAnsi="Arial" w:cs="Arial"/>
          <w:sz w:val="16"/>
          <w:szCs w:val="16"/>
        </w:rPr>
      </w:pPr>
    </w:p>
    <w:p w14:paraId="6D0E70BD" w14:textId="3E8A25CA" w:rsidR="00F365DE" w:rsidRPr="00CE273B" w:rsidRDefault="00F365DE" w:rsidP="00EC2BC0">
      <w:pPr>
        <w:pStyle w:val="NormalWeb"/>
        <w:numPr>
          <w:ilvl w:val="0"/>
          <w:numId w:val="2"/>
        </w:numPr>
        <w:spacing w:before="0" w:beforeAutospacing="0" w:after="0" w:afterAutospacing="0"/>
        <w:jc w:val="both"/>
        <w:rPr>
          <w:rFonts w:ascii="Arial" w:hAnsi="Arial" w:cs="Arial"/>
          <w:b/>
          <w:bCs/>
          <w:sz w:val="22"/>
          <w:szCs w:val="22"/>
          <w:u w:val="single"/>
        </w:rPr>
      </w:pPr>
      <w:r w:rsidRPr="00CE273B">
        <w:rPr>
          <w:rFonts w:ascii="Arial" w:hAnsi="Arial" w:cs="Arial"/>
          <w:b/>
          <w:bCs/>
          <w:sz w:val="22"/>
          <w:szCs w:val="22"/>
          <w:u w:val="single"/>
        </w:rPr>
        <w:t>L’épargne</w:t>
      </w:r>
    </w:p>
    <w:p w14:paraId="5E07EB1C" w14:textId="7C4B93AC" w:rsidR="00F365DE" w:rsidRPr="00CE273B" w:rsidRDefault="00EC2BC0" w:rsidP="00F365DE">
      <w:pPr>
        <w:spacing w:after="0" w:line="240" w:lineRule="auto"/>
        <w:jc w:val="both"/>
        <w:rPr>
          <w:rFonts w:cs="Arial"/>
          <w:sz w:val="16"/>
          <w:szCs w:val="16"/>
        </w:rPr>
      </w:pPr>
      <w:r>
        <w:rPr>
          <w:noProof/>
        </w:rPr>
        <w:drawing>
          <wp:anchor distT="0" distB="0" distL="114300" distR="114300" simplePos="0" relativeHeight="251659264" behindDoc="0" locked="0" layoutInCell="1" allowOverlap="1" wp14:anchorId="544D6C3C" wp14:editId="6BB85CDC">
            <wp:simplePos x="0" y="0"/>
            <wp:positionH relativeFrom="margin">
              <wp:posOffset>3834855</wp:posOffset>
            </wp:positionH>
            <wp:positionV relativeFrom="paragraph">
              <wp:posOffset>-81915</wp:posOffset>
            </wp:positionV>
            <wp:extent cx="2334331" cy="1750877"/>
            <wp:effectExtent l="0" t="0" r="8890" b="1905"/>
            <wp:wrapSquare wrapText="bothSides"/>
            <wp:docPr id="5644605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4331" cy="1750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3731A" w14:textId="7A6D16E8" w:rsidR="00F365DE" w:rsidRDefault="00F365DE" w:rsidP="00F365DE">
      <w:pPr>
        <w:spacing w:after="0" w:line="240" w:lineRule="auto"/>
        <w:jc w:val="both"/>
        <w:rPr>
          <w:rFonts w:cs="Arial"/>
        </w:rPr>
      </w:pPr>
      <w:r w:rsidRPr="00CE273B">
        <w:rPr>
          <w:rFonts w:cs="Arial"/>
          <w:b/>
          <w:bCs/>
          <w:u w:val="single"/>
        </w:rPr>
        <w:t>C’est la part du revenu disponible non consommée</w:t>
      </w:r>
      <w:r w:rsidRPr="00CE273B">
        <w:rPr>
          <w:rFonts w:cs="Arial"/>
          <w:b/>
          <w:bCs/>
        </w:rPr>
        <w:t>.</w:t>
      </w:r>
      <w:r>
        <w:rPr>
          <w:rFonts w:cs="Arial"/>
        </w:rPr>
        <w:t xml:space="preserve"> L’épargne est constituée de sommes d’argent que les français placent dans des établissements bancaires ou des assurances tels que les livrets d’épargne</w:t>
      </w:r>
      <w:r w:rsidR="00CE273B">
        <w:rPr>
          <w:rFonts w:cs="Arial"/>
        </w:rPr>
        <w:t>, les assurances vie…</w:t>
      </w:r>
    </w:p>
    <w:p w14:paraId="4C2652BC" w14:textId="77777777" w:rsidR="00EC2BC0" w:rsidRDefault="00EC2BC0" w:rsidP="00F365DE">
      <w:pPr>
        <w:spacing w:after="0" w:line="240" w:lineRule="auto"/>
        <w:jc w:val="both"/>
        <w:rPr>
          <w:rFonts w:cs="Arial"/>
        </w:rPr>
      </w:pPr>
    </w:p>
    <w:p w14:paraId="545DAACA" w14:textId="75D33DDC" w:rsidR="00EC2BC0" w:rsidRDefault="00EC2BC0" w:rsidP="00F365DE">
      <w:pPr>
        <w:spacing w:after="0" w:line="240" w:lineRule="auto"/>
        <w:jc w:val="both"/>
        <w:rPr>
          <w:rFonts w:cs="Arial"/>
        </w:rPr>
      </w:pPr>
      <w:r>
        <w:rPr>
          <w:rFonts w:cs="Arial"/>
        </w:rPr>
        <w:t>Les français peuvent épargnés par précaution (coup dur), pour se constituer un complément de retraite, pour investir dans l’immobilier, pour transmettre un patrimoine.</w:t>
      </w:r>
    </w:p>
    <w:p w14:paraId="4702BFC0" w14:textId="77777777" w:rsidR="00EC2BC0" w:rsidRDefault="00EC2BC0" w:rsidP="00F365DE">
      <w:pPr>
        <w:spacing w:after="0" w:line="240" w:lineRule="auto"/>
        <w:jc w:val="both"/>
        <w:rPr>
          <w:rFonts w:cs="Arial"/>
        </w:rPr>
      </w:pPr>
    </w:p>
    <w:p w14:paraId="6E9FDCB1" w14:textId="00AE8297" w:rsidR="00EC2BC0" w:rsidRPr="00EC2BC0" w:rsidRDefault="00EC2BC0" w:rsidP="00EC2BC0">
      <w:pPr>
        <w:pStyle w:val="NormalWeb"/>
        <w:numPr>
          <w:ilvl w:val="0"/>
          <w:numId w:val="2"/>
        </w:numPr>
        <w:spacing w:before="0" w:beforeAutospacing="0" w:after="0" w:afterAutospacing="0"/>
        <w:jc w:val="both"/>
        <w:rPr>
          <w:rFonts w:ascii="Arial" w:hAnsi="Arial" w:cs="Arial"/>
          <w:b/>
          <w:bCs/>
          <w:sz w:val="22"/>
          <w:szCs w:val="22"/>
          <w:u w:val="single"/>
        </w:rPr>
      </w:pPr>
      <w:r w:rsidRPr="00EC2BC0">
        <w:rPr>
          <w:rFonts w:ascii="Arial" w:hAnsi="Arial" w:cs="Arial"/>
          <w:b/>
          <w:bCs/>
          <w:sz w:val="22"/>
          <w:szCs w:val="22"/>
          <w:u w:val="single"/>
        </w:rPr>
        <w:t>Le crédit</w:t>
      </w:r>
    </w:p>
    <w:p w14:paraId="13033D71" w14:textId="77777777" w:rsidR="00EC2BC0" w:rsidRDefault="00EC2BC0" w:rsidP="00EC2BC0">
      <w:pPr>
        <w:spacing w:after="0" w:line="240" w:lineRule="auto"/>
        <w:jc w:val="both"/>
        <w:rPr>
          <w:rFonts w:cs="Arial"/>
        </w:rPr>
      </w:pPr>
    </w:p>
    <w:p w14:paraId="59BC0DDB" w14:textId="7BB05A32" w:rsidR="00EC2BC0" w:rsidRDefault="00EC2BC0" w:rsidP="00EC2BC0">
      <w:pPr>
        <w:spacing w:after="0" w:line="240" w:lineRule="auto"/>
        <w:jc w:val="both"/>
      </w:pPr>
      <w:r>
        <w:t>Le crédit est une opération financière réalisée par un organisme bancaire ou tout autre établissement de crédit, qui consiste à mettre des ressources à disposition d'un client. En échange, le débiteur s'engage à rembourser la somme avant une date déterminée, et à payer une rémunération au créancier sous la forme d'intérêts. Il existe le crédit à la consommation et le crédit immobilier.</w:t>
      </w:r>
    </w:p>
    <w:p w14:paraId="19B00CED" w14:textId="77777777" w:rsidR="00EC2BC0" w:rsidRDefault="00EC2BC0" w:rsidP="00EC2BC0">
      <w:pPr>
        <w:spacing w:after="0" w:line="240" w:lineRule="auto"/>
        <w:jc w:val="both"/>
      </w:pPr>
    </w:p>
    <w:p w14:paraId="3F6FB756" w14:textId="471B3DA5" w:rsidR="00EC2BC0" w:rsidRDefault="00EC2BC0" w:rsidP="00EC2BC0">
      <w:pPr>
        <w:spacing w:after="0" w:line="240" w:lineRule="auto"/>
        <w:jc w:val="both"/>
        <w:rPr>
          <w:rFonts w:cs="Arial"/>
        </w:rPr>
      </w:pPr>
      <w:r>
        <w:rPr>
          <w:rFonts w:cs="Arial"/>
        </w:rPr>
        <w:t xml:space="preserve">Les ménages ont recours au crédit afin de financer des achats d’équipements (maison, transport) ou bien un achat immobilier. </w:t>
      </w:r>
    </w:p>
    <w:p w14:paraId="7D546A3E" w14:textId="77777777" w:rsidR="00EC2BC0" w:rsidRDefault="00EC2BC0" w:rsidP="00EC2BC0">
      <w:pPr>
        <w:spacing w:after="0" w:line="240" w:lineRule="auto"/>
        <w:jc w:val="both"/>
        <w:rPr>
          <w:rFonts w:cs="Arial"/>
        </w:rPr>
      </w:pPr>
    </w:p>
    <w:p w14:paraId="0E14EC5C" w14:textId="07600FB3" w:rsidR="00EC2BC0" w:rsidRPr="00EC2BC0" w:rsidRDefault="00EC2BC0" w:rsidP="00EC2BC0">
      <w:pPr>
        <w:spacing w:after="0" w:line="240" w:lineRule="auto"/>
        <w:jc w:val="both"/>
        <w:rPr>
          <w:rFonts w:cs="Arial"/>
        </w:rPr>
      </w:pPr>
      <w:r>
        <w:rPr>
          <w:rFonts w:cs="Arial"/>
        </w:rPr>
        <w:t>Les ménages les plus précaires sont exposés au risque de surendettement lorsqu’ils ne peuvent rembourser leur(s) crédit(s).</w:t>
      </w:r>
    </w:p>
    <w:sectPr w:rsidR="00EC2BC0" w:rsidRPr="00EC2BC0" w:rsidSect="00F365DE">
      <w:footerReference w:type="default" r:id="rId9"/>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E1B9A" w14:textId="77777777" w:rsidR="00EE3F10" w:rsidRDefault="00EE3F10" w:rsidP="00CE273B">
      <w:pPr>
        <w:spacing w:after="0" w:line="240" w:lineRule="auto"/>
      </w:pPr>
      <w:r>
        <w:separator/>
      </w:r>
    </w:p>
  </w:endnote>
  <w:endnote w:type="continuationSeparator" w:id="0">
    <w:p w14:paraId="588278B3" w14:textId="77777777" w:rsidR="00EE3F10" w:rsidRDefault="00EE3F10" w:rsidP="00CE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81B1" w14:textId="3F14B80E" w:rsidR="00EC2BC0" w:rsidRPr="00693D11" w:rsidRDefault="00EC2BC0">
    <w:pPr>
      <w:pStyle w:val="Pieddepage"/>
      <w:jc w:val="right"/>
      <w:rPr>
        <w:sz w:val="20"/>
        <w:szCs w:val="20"/>
      </w:rPr>
    </w:pPr>
    <w:r w:rsidRPr="00693D11">
      <w:rPr>
        <w:color w:val="4472C4" w:themeColor="accent1"/>
        <w:sz w:val="18"/>
        <w:szCs w:val="18"/>
      </w:rPr>
      <w:t xml:space="preserve">2GATL – </w:t>
    </w:r>
    <w:r w:rsidR="00693D11" w:rsidRPr="00693D11">
      <w:rPr>
        <w:color w:val="4472C4" w:themeColor="accent1"/>
        <w:sz w:val="18"/>
        <w:szCs w:val="18"/>
      </w:rPr>
      <w:t xml:space="preserve">ECONOMIE – DROIT - </w:t>
    </w:r>
    <w:r w:rsidRPr="00693D11">
      <w:rPr>
        <w:color w:val="4472C4" w:themeColor="accent1"/>
        <w:sz w:val="18"/>
        <w:szCs w:val="18"/>
      </w:rPr>
      <w:t xml:space="preserve">POINT ECONOMIQUE ET JURIDIQUE 4 – SYNTHESE – J. SENABRE p. </w:t>
    </w:r>
    <w:r w:rsidRPr="00693D11">
      <w:rPr>
        <w:color w:val="4472C4" w:themeColor="accent1"/>
        <w:sz w:val="18"/>
        <w:szCs w:val="18"/>
      </w:rPr>
      <w:fldChar w:fldCharType="begin"/>
    </w:r>
    <w:r w:rsidRPr="00693D11">
      <w:rPr>
        <w:color w:val="4472C4" w:themeColor="accent1"/>
        <w:sz w:val="18"/>
        <w:szCs w:val="18"/>
      </w:rPr>
      <w:instrText>PAGE  \* Arabic</w:instrText>
    </w:r>
    <w:r w:rsidRPr="00693D11">
      <w:rPr>
        <w:color w:val="4472C4" w:themeColor="accent1"/>
        <w:sz w:val="18"/>
        <w:szCs w:val="18"/>
      </w:rPr>
      <w:fldChar w:fldCharType="separate"/>
    </w:r>
    <w:r w:rsidRPr="00693D11">
      <w:rPr>
        <w:color w:val="4472C4" w:themeColor="accent1"/>
        <w:sz w:val="18"/>
        <w:szCs w:val="18"/>
      </w:rPr>
      <w:t>1</w:t>
    </w:r>
    <w:r w:rsidRPr="00693D11">
      <w:rPr>
        <w:color w:val="4472C4" w:themeColor="accent1"/>
        <w:sz w:val="18"/>
        <w:szCs w:val="18"/>
      </w:rPr>
      <w:fldChar w:fldCharType="end"/>
    </w:r>
  </w:p>
  <w:p w14:paraId="4A3E67BD" w14:textId="77777777" w:rsidR="00EC2BC0" w:rsidRDefault="00EC2B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D007A" w14:textId="77777777" w:rsidR="00EE3F10" w:rsidRDefault="00EE3F10" w:rsidP="00CE273B">
      <w:pPr>
        <w:spacing w:after="0" w:line="240" w:lineRule="auto"/>
      </w:pPr>
      <w:r>
        <w:separator/>
      </w:r>
    </w:p>
  </w:footnote>
  <w:footnote w:type="continuationSeparator" w:id="0">
    <w:p w14:paraId="4FD22E33" w14:textId="77777777" w:rsidR="00EE3F10" w:rsidRDefault="00EE3F10" w:rsidP="00CE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AD7"/>
    <w:multiLevelType w:val="hybridMultilevel"/>
    <w:tmpl w:val="1B04E3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764D16"/>
    <w:multiLevelType w:val="hybridMultilevel"/>
    <w:tmpl w:val="3360511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B569B0"/>
    <w:multiLevelType w:val="hybridMultilevel"/>
    <w:tmpl w:val="BF6E5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395621">
    <w:abstractNumId w:val="2"/>
  </w:num>
  <w:num w:numId="2" w16cid:durableId="29913593">
    <w:abstractNumId w:val="1"/>
  </w:num>
  <w:num w:numId="3" w16cid:durableId="3428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DE"/>
    <w:rsid w:val="0053748F"/>
    <w:rsid w:val="00693D11"/>
    <w:rsid w:val="007D1A07"/>
    <w:rsid w:val="00853791"/>
    <w:rsid w:val="00A61C30"/>
    <w:rsid w:val="00A84D8C"/>
    <w:rsid w:val="00B63F8B"/>
    <w:rsid w:val="00B87C8B"/>
    <w:rsid w:val="00CE273B"/>
    <w:rsid w:val="00EC2BC0"/>
    <w:rsid w:val="00EE3F10"/>
    <w:rsid w:val="00F365DE"/>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BC29"/>
  <w15:chartTrackingRefBased/>
  <w15:docId w15:val="{EB8A95A3-1852-4C68-BCFD-2D3AC720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65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24kjd">
    <w:name w:val="e24kjd"/>
    <w:basedOn w:val="Policepardfaut"/>
    <w:rsid w:val="00F365DE"/>
  </w:style>
  <w:style w:type="table" w:styleId="Grilledutableau">
    <w:name w:val="Table Grid"/>
    <w:basedOn w:val="TableauNormal"/>
    <w:uiPriority w:val="39"/>
    <w:rsid w:val="00F365D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E273B"/>
    <w:pPr>
      <w:tabs>
        <w:tab w:val="center" w:pos="4536"/>
        <w:tab w:val="right" w:pos="9072"/>
      </w:tabs>
      <w:spacing w:after="0" w:line="240" w:lineRule="auto"/>
    </w:pPr>
  </w:style>
  <w:style w:type="character" w:customStyle="1" w:styleId="En-tteCar">
    <w:name w:val="En-tête Car"/>
    <w:basedOn w:val="Policepardfaut"/>
    <w:link w:val="En-tte"/>
    <w:uiPriority w:val="99"/>
    <w:rsid w:val="00CE273B"/>
  </w:style>
  <w:style w:type="paragraph" w:styleId="Pieddepage">
    <w:name w:val="footer"/>
    <w:basedOn w:val="Normal"/>
    <w:link w:val="PieddepageCar"/>
    <w:uiPriority w:val="99"/>
    <w:unhideWhenUsed/>
    <w:rsid w:val="00CE27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73B"/>
  </w:style>
  <w:style w:type="paragraph" w:styleId="Paragraphedeliste">
    <w:name w:val="List Paragraph"/>
    <w:basedOn w:val="Normal"/>
    <w:uiPriority w:val="34"/>
    <w:qFormat/>
    <w:rsid w:val="00EC2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1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2GA – POINT ECONOMIQUE ET JURIDIQUE 4 - SYNTHESE</dc:creator>
  <cp:keywords/>
  <dc:description/>
  <cp:lastModifiedBy>JEREMY</cp:lastModifiedBy>
  <cp:revision>5</cp:revision>
  <dcterms:created xsi:type="dcterms:W3CDTF">2022-11-23T04:15:00Z</dcterms:created>
  <dcterms:modified xsi:type="dcterms:W3CDTF">2024-08-22T04:27:00Z</dcterms:modified>
</cp:coreProperties>
</file>