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11"/>
        <w:tblW w:w="9351" w:type="dxa"/>
        <w:tblLook w:val="04A0" w:firstRow="1" w:lastRow="0" w:firstColumn="1" w:lastColumn="0" w:noHBand="0" w:noVBand="1"/>
      </w:tblPr>
      <w:tblGrid>
        <w:gridCol w:w="4530"/>
        <w:gridCol w:w="4821"/>
      </w:tblGrid>
      <w:tr w:rsidR="00DC02E5" w:rsidRPr="00DC02E5" w14:paraId="6BF067AB" w14:textId="77777777" w:rsidTr="002E0C4D">
        <w:tc>
          <w:tcPr>
            <w:tcW w:w="4530" w:type="dxa"/>
            <w:shd w:val="clear" w:color="auto" w:fill="F2F2F2" w:themeFill="background1" w:themeFillShade="F2"/>
          </w:tcPr>
          <w:p w14:paraId="73FB2CD3" w14:textId="77777777" w:rsidR="00DC02E5" w:rsidRPr="00DC02E5" w:rsidRDefault="00DC02E5" w:rsidP="00DC02E5">
            <w:pPr>
              <w:spacing w:before="120" w:after="120"/>
              <w:jc w:val="center"/>
              <w:outlineLvl w:val="0"/>
              <w:rPr>
                <w:rFonts w:cs="Arial"/>
                <w:b/>
                <w:bCs/>
                <w:color w:val="006666"/>
                <w:kern w:val="36"/>
              </w:rPr>
            </w:pPr>
            <w:r w:rsidRPr="00DC02E5">
              <w:rPr>
                <w:rFonts w:cs="Arial"/>
                <w:b/>
                <w:bCs/>
                <w:color w:val="006666"/>
                <w:kern w:val="36"/>
              </w:rPr>
              <w:t>Première baccalauréat professionnel</w:t>
            </w:r>
          </w:p>
        </w:tc>
        <w:tc>
          <w:tcPr>
            <w:tcW w:w="4821" w:type="dxa"/>
            <w:shd w:val="clear" w:color="auto" w:fill="F2F2F2" w:themeFill="background1" w:themeFillShade="F2"/>
            <w:vAlign w:val="center"/>
          </w:tcPr>
          <w:p w14:paraId="05F39038" w14:textId="50AF7158" w:rsidR="00DC02E5" w:rsidRPr="00DC02E5" w:rsidRDefault="004E30D7" w:rsidP="00DC02E5">
            <w:pPr>
              <w:spacing w:before="120" w:after="120"/>
              <w:jc w:val="center"/>
              <w:outlineLvl w:val="0"/>
              <w:rPr>
                <w:rFonts w:cs="Arial"/>
                <w:b/>
                <w:bCs/>
                <w:color w:val="006666"/>
                <w:kern w:val="36"/>
              </w:rPr>
            </w:pPr>
            <w:r>
              <w:rPr>
                <w:rFonts w:cs="Arial"/>
                <w:b/>
                <w:bCs/>
                <w:color w:val="006666"/>
                <w:kern w:val="36"/>
              </w:rPr>
              <w:t xml:space="preserve">DOSSIER 3 </w:t>
            </w:r>
          </w:p>
        </w:tc>
      </w:tr>
      <w:tr w:rsidR="00DC02E5" w:rsidRPr="00DC02E5" w14:paraId="7F5CEBDE" w14:textId="77777777" w:rsidTr="002E0C4D">
        <w:tc>
          <w:tcPr>
            <w:tcW w:w="9351" w:type="dxa"/>
            <w:gridSpan w:val="2"/>
          </w:tcPr>
          <w:p w14:paraId="00C5F539" w14:textId="77777777" w:rsidR="00DC02E5" w:rsidRPr="00DC02E5" w:rsidRDefault="00DC02E5" w:rsidP="00DC02E5">
            <w:pPr>
              <w:contextualSpacing/>
              <w:jc w:val="both"/>
              <w:outlineLvl w:val="0"/>
              <w:rPr>
                <w:rFonts w:cs="Arial"/>
              </w:rPr>
            </w:pPr>
            <w:r w:rsidRPr="00DC02E5">
              <w:rPr>
                <w:rFonts w:cs="Arial"/>
                <w:b/>
                <w:bCs/>
              </w:rPr>
              <w:t>Question : pourquoi l’entreprise doit-elle dépasser la seule performance économique</w:t>
            </w:r>
            <w:r w:rsidRPr="00DC02E5">
              <w:rPr>
                <w:rFonts w:cs="Arial"/>
              </w:rPr>
              <w:t xml:space="preserve"> ?</w:t>
            </w:r>
          </w:p>
          <w:p w14:paraId="455D46FA" w14:textId="77777777" w:rsidR="00DC02E5" w:rsidRPr="00DC02E5" w:rsidRDefault="00DC02E5" w:rsidP="00DC02E5">
            <w:pPr>
              <w:numPr>
                <w:ilvl w:val="0"/>
                <w:numId w:val="5"/>
              </w:numPr>
              <w:contextualSpacing/>
              <w:jc w:val="both"/>
              <w:outlineLvl w:val="0"/>
              <w:rPr>
                <w:rFonts w:cs="Arial"/>
              </w:rPr>
            </w:pPr>
            <w:r w:rsidRPr="00DC02E5">
              <w:rPr>
                <w:rFonts w:cs="Arial"/>
              </w:rPr>
              <w:t>Identifier les dimensions sociale et environnementale de la performance</w:t>
            </w:r>
          </w:p>
          <w:p w14:paraId="2678B24D" w14:textId="77777777" w:rsidR="00DC02E5" w:rsidRPr="00DC02E5" w:rsidRDefault="00DC02E5" w:rsidP="00DC02E5">
            <w:pPr>
              <w:numPr>
                <w:ilvl w:val="0"/>
                <w:numId w:val="5"/>
              </w:numPr>
              <w:contextualSpacing/>
              <w:jc w:val="both"/>
              <w:outlineLvl w:val="0"/>
              <w:rPr>
                <w:rFonts w:cs="Arial"/>
                <w:b/>
                <w:bCs/>
                <w:kern w:val="36"/>
              </w:rPr>
            </w:pPr>
            <w:r w:rsidRPr="00DC02E5">
              <w:rPr>
                <w:rFonts w:cs="Arial"/>
              </w:rPr>
              <w:t>Expliciter les raisons d’entrer dans une démarche de RSE pour une entreprise</w:t>
            </w:r>
          </w:p>
        </w:tc>
      </w:tr>
    </w:tbl>
    <w:p w14:paraId="55C10588" w14:textId="4E33CC61" w:rsidR="001B6400" w:rsidRDefault="001B6400" w:rsidP="00B144B9">
      <w:pPr>
        <w:spacing w:after="0"/>
      </w:pPr>
    </w:p>
    <w:p w14:paraId="343496AE" w14:textId="382FC387" w:rsidR="00DC02E5" w:rsidRPr="00DC02E5" w:rsidRDefault="00DC02E5" w:rsidP="00DC02E5">
      <w:pPr>
        <w:spacing w:after="0" w:line="240" w:lineRule="auto"/>
        <w:jc w:val="center"/>
        <w:outlineLvl w:val="0"/>
        <w:rPr>
          <w:rFonts w:cs="Arial"/>
          <w:b/>
          <w:bCs/>
          <w:color w:val="006666"/>
          <w:kern w:val="36"/>
          <w:sz w:val="32"/>
          <w:szCs w:val="32"/>
        </w:rPr>
      </w:pPr>
      <w:r w:rsidRPr="00DC02E5">
        <w:rPr>
          <w:rFonts w:cs="Arial"/>
          <w:b/>
          <w:bCs/>
          <w:color w:val="006666"/>
          <w:kern w:val="36"/>
          <w:sz w:val="32"/>
          <w:szCs w:val="32"/>
        </w:rPr>
        <w:t>SYNTHESE</w:t>
      </w:r>
    </w:p>
    <w:p w14:paraId="796E6322" w14:textId="77777777" w:rsidR="00DC02E5" w:rsidRDefault="00DC02E5" w:rsidP="00B144B9">
      <w:pPr>
        <w:spacing w:after="0"/>
      </w:pPr>
    </w:p>
    <w:p w14:paraId="75AE5692" w14:textId="6E10CE5B" w:rsidR="006743A8" w:rsidRPr="00B144B9" w:rsidRDefault="006743A8" w:rsidP="006743A8">
      <w:pPr>
        <w:pStyle w:val="Paragraphedeliste"/>
        <w:numPr>
          <w:ilvl w:val="0"/>
          <w:numId w:val="2"/>
        </w:numPr>
        <w:rPr>
          <w:b/>
          <w:bCs/>
          <w:sz w:val="24"/>
          <w:szCs w:val="24"/>
          <w:u w:val="single"/>
        </w:rPr>
      </w:pPr>
      <w:r w:rsidRPr="00B144B9">
        <w:rPr>
          <w:b/>
          <w:bCs/>
          <w:sz w:val="24"/>
          <w:szCs w:val="24"/>
          <w:u w:val="single"/>
        </w:rPr>
        <w:t>La performance sociale de l’entreprise</w:t>
      </w:r>
    </w:p>
    <w:p w14:paraId="74834344" w14:textId="74504ED1" w:rsidR="00B144B9" w:rsidRPr="00187A60" w:rsidRDefault="00B144B9" w:rsidP="00B144B9">
      <w:pPr>
        <w:jc w:val="both"/>
      </w:pPr>
      <w:r w:rsidRPr="00187A60">
        <w:t xml:space="preserve">La performance sociale d’une entreprise est déterminée par ses résultats dans les domaines qui ne relèvent pas directement de son activité économique. </w:t>
      </w:r>
    </w:p>
    <w:p w14:paraId="12D677A8" w14:textId="25FE2DBA" w:rsidR="006743A8" w:rsidRPr="00187A60" w:rsidRDefault="00B144B9" w:rsidP="00B144B9">
      <w:pPr>
        <w:jc w:val="both"/>
      </w:pPr>
      <w:r>
        <w:t xml:space="preserve">La performance sociale des entreprises sert à évaluer le bien-être des salariés dans l’entreprise et s’inscrit dans une optique de développement durable. L’amélioration de ce bien-être passe par la résolution des problèmes existants au sein de l’entreprise, tels que l’absentéisme, les arrêts maladie, le stress, les problèmes relationnels, le </w:t>
      </w:r>
      <w:hyperlink r:id="rId8" w:history="1">
        <w:r w:rsidR="00187A60" w:rsidRPr="00187A60">
          <w:rPr>
            <w:i/>
            <w:iCs/>
          </w:rPr>
          <w:t>Burn</w:t>
        </w:r>
        <w:r w:rsidRPr="00187A60">
          <w:rPr>
            <w:i/>
            <w:iCs/>
          </w:rPr>
          <w:t xml:space="preserve"> out</w:t>
        </w:r>
      </w:hyperlink>
      <w:r>
        <w:t xml:space="preserve">, ou encore le </w:t>
      </w:r>
      <w:hyperlink r:id="rId9" w:history="1">
        <w:r w:rsidRPr="00187A60">
          <w:t>harcèlement moral</w:t>
        </w:r>
      </w:hyperlink>
      <w:r>
        <w:t>. Elle est cependant, du fait de son objet, difficile à apprécier.</w:t>
      </w:r>
    </w:p>
    <w:p w14:paraId="0E22D7A8" w14:textId="48B9301D" w:rsidR="006743A8" w:rsidRPr="00B144B9" w:rsidRDefault="006743A8" w:rsidP="006743A8">
      <w:pPr>
        <w:pStyle w:val="Paragraphedeliste"/>
        <w:numPr>
          <w:ilvl w:val="0"/>
          <w:numId w:val="2"/>
        </w:numPr>
        <w:rPr>
          <w:b/>
          <w:bCs/>
          <w:sz w:val="24"/>
          <w:szCs w:val="24"/>
          <w:u w:val="single"/>
        </w:rPr>
      </w:pPr>
      <w:r w:rsidRPr="00B144B9">
        <w:rPr>
          <w:b/>
          <w:bCs/>
          <w:sz w:val="24"/>
          <w:szCs w:val="24"/>
          <w:u w:val="single"/>
        </w:rPr>
        <w:t>L’éco-responsabilité</w:t>
      </w:r>
    </w:p>
    <w:p w14:paraId="03779856" w14:textId="36FAE764" w:rsidR="006743A8" w:rsidRDefault="00B144B9" w:rsidP="006743A8">
      <w:pPr>
        <w:rPr>
          <w:rStyle w:val="lev"/>
        </w:rPr>
      </w:pPr>
      <w:r>
        <w:t>Une entreprise est dite écoresponsable lorsqu’elle met en place de façon globale des gestes ayant pour but de </w:t>
      </w:r>
      <w:r>
        <w:rPr>
          <w:rStyle w:val="lev"/>
        </w:rPr>
        <w:t>limiter son empreinte écologique et son impact sur l’environnement. </w:t>
      </w:r>
    </w:p>
    <w:p w14:paraId="36EC8946" w14:textId="1E3DFA0D" w:rsidR="00B144B9" w:rsidRPr="00B144B9" w:rsidRDefault="00B144B9" w:rsidP="00B144B9">
      <w:pPr>
        <w:spacing w:before="100" w:beforeAutospacing="1" w:after="100" w:afterAutospacing="1" w:line="240" w:lineRule="auto"/>
        <w:jc w:val="both"/>
        <w:rPr>
          <w:rFonts w:eastAsia="Times New Roman" w:cs="Arial"/>
          <w:lang w:eastAsia="fr-FR"/>
        </w:rPr>
      </w:pPr>
      <w:r w:rsidRPr="00B144B9">
        <w:rPr>
          <w:rFonts w:eastAsia="Times New Roman" w:cs="Arial"/>
          <w:lang w:eastAsia="fr-FR"/>
        </w:rPr>
        <w:t>Devenir une entreprise écoresponsable permet plusieurs avantages :</w:t>
      </w:r>
    </w:p>
    <w:p w14:paraId="075E7326" w14:textId="77777777" w:rsidR="00B144B9" w:rsidRPr="00B144B9" w:rsidRDefault="00B144B9" w:rsidP="00B144B9">
      <w:pPr>
        <w:pStyle w:val="Paragraphedeliste"/>
        <w:numPr>
          <w:ilvl w:val="0"/>
          <w:numId w:val="3"/>
        </w:numPr>
        <w:spacing w:before="100" w:beforeAutospacing="1" w:after="100" w:afterAutospacing="1" w:line="240" w:lineRule="auto"/>
        <w:jc w:val="both"/>
        <w:rPr>
          <w:rFonts w:eastAsia="Times New Roman" w:cs="Arial"/>
          <w:lang w:eastAsia="fr-FR"/>
        </w:rPr>
      </w:pPr>
      <w:r w:rsidRPr="00B144B9">
        <w:rPr>
          <w:rFonts w:eastAsia="Times New Roman" w:cs="Arial"/>
          <w:lang w:eastAsia="fr-FR"/>
        </w:rPr>
        <w:t>Améliorer la compétitivité de l’entreprise</w:t>
      </w:r>
    </w:p>
    <w:p w14:paraId="06B0972D" w14:textId="53D52166" w:rsidR="00B144B9" w:rsidRPr="00B144B9" w:rsidRDefault="00B144B9" w:rsidP="00B144B9">
      <w:pPr>
        <w:pStyle w:val="Paragraphedeliste"/>
        <w:numPr>
          <w:ilvl w:val="0"/>
          <w:numId w:val="3"/>
        </w:numPr>
        <w:spacing w:before="100" w:beforeAutospacing="1" w:after="100" w:afterAutospacing="1" w:line="240" w:lineRule="auto"/>
        <w:jc w:val="both"/>
        <w:rPr>
          <w:rFonts w:eastAsia="Times New Roman" w:cs="Arial"/>
          <w:lang w:eastAsia="fr-FR"/>
        </w:rPr>
      </w:pPr>
      <w:r w:rsidRPr="00B144B9">
        <w:rPr>
          <w:rFonts w:eastAsia="Times New Roman" w:cs="Arial"/>
          <w:lang w:eastAsia="fr-FR"/>
        </w:rPr>
        <w:t>Améliorer son image de marque et démontrer des valeurs fortes</w:t>
      </w:r>
    </w:p>
    <w:p w14:paraId="10227212" w14:textId="77777777" w:rsidR="00B144B9" w:rsidRPr="00B144B9" w:rsidRDefault="00B144B9" w:rsidP="00B144B9">
      <w:pPr>
        <w:pStyle w:val="Paragraphedeliste"/>
        <w:numPr>
          <w:ilvl w:val="0"/>
          <w:numId w:val="3"/>
        </w:numPr>
        <w:spacing w:before="100" w:beforeAutospacing="1" w:after="100" w:afterAutospacing="1" w:line="240" w:lineRule="auto"/>
        <w:jc w:val="both"/>
        <w:rPr>
          <w:rFonts w:eastAsia="Times New Roman" w:cs="Arial"/>
          <w:lang w:eastAsia="fr-FR"/>
        </w:rPr>
      </w:pPr>
      <w:r w:rsidRPr="00B144B9">
        <w:rPr>
          <w:rFonts w:eastAsia="Times New Roman" w:cs="Arial"/>
          <w:lang w:eastAsia="fr-FR"/>
        </w:rPr>
        <w:t>Diminuer certains coûts, en utilisant des énergies renouvelables et en améliorant la gestion des ressources utilisées</w:t>
      </w:r>
    </w:p>
    <w:p w14:paraId="20D98522" w14:textId="77777777" w:rsidR="00B144B9" w:rsidRPr="00B144B9" w:rsidRDefault="00B144B9" w:rsidP="00B144B9">
      <w:pPr>
        <w:pStyle w:val="Paragraphedeliste"/>
        <w:numPr>
          <w:ilvl w:val="0"/>
          <w:numId w:val="3"/>
        </w:numPr>
        <w:spacing w:before="100" w:beforeAutospacing="1" w:after="100" w:afterAutospacing="1" w:line="240" w:lineRule="auto"/>
        <w:jc w:val="both"/>
        <w:rPr>
          <w:rFonts w:eastAsia="Times New Roman" w:cs="Arial"/>
          <w:lang w:eastAsia="fr-FR"/>
        </w:rPr>
      </w:pPr>
      <w:r w:rsidRPr="00B144B9">
        <w:rPr>
          <w:rFonts w:eastAsia="Times New Roman" w:cs="Arial"/>
          <w:lang w:eastAsia="fr-FR"/>
        </w:rPr>
        <w:t>Adopter dès à présent des mesures qui deviendront probablement obligatoires pour toutes les entreprises d’ici quelques années</w:t>
      </w:r>
    </w:p>
    <w:p w14:paraId="2B5B0AE3" w14:textId="6EC589A3" w:rsidR="00B144B9" w:rsidRDefault="00B144B9" w:rsidP="00B144B9">
      <w:pPr>
        <w:pStyle w:val="Paragraphedeliste"/>
        <w:numPr>
          <w:ilvl w:val="0"/>
          <w:numId w:val="3"/>
        </w:numPr>
        <w:spacing w:before="100" w:beforeAutospacing="1" w:after="100" w:afterAutospacing="1" w:line="240" w:lineRule="auto"/>
        <w:jc w:val="both"/>
        <w:rPr>
          <w:rFonts w:eastAsia="Times New Roman" w:cs="Arial"/>
          <w:lang w:eastAsia="fr-FR"/>
        </w:rPr>
      </w:pPr>
      <w:r w:rsidRPr="00B144B9">
        <w:rPr>
          <w:rFonts w:eastAsia="Times New Roman" w:cs="Arial"/>
          <w:lang w:eastAsia="fr-FR"/>
        </w:rPr>
        <w:t>Renforcer la culture d’entreprise et partager des engagements forts avec les salariés.</w:t>
      </w:r>
    </w:p>
    <w:p w14:paraId="2B3E357E" w14:textId="77777777" w:rsidR="00B144B9" w:rsidRPr="00B144B9" w:rsidRDefault="00B144B9" w:rsidP="00B144B9">
      <w:pPr>
        <w:pStyle w:val="Paragraphedeliste"/>
        <w:spacing w:before="100" w:beforeAutospacing="1" w:after="100" w:afterAutospacing="1" w:line="240" w:lineRule="auto"/>
        <w:jc w:val="both"/>
        <w:rPr>
          <w:rFonts w:eastAsia="Times New Roman" w:cs="Arial"/>
          <w:lang w:eastAsia="fr-FR"/>
        </w:rPr>
      </w:pPr>
    </w:p>
    <w:p w14:paraId="12916B70" w14:textId="7C01A7EC" w:rsidR="006743A8" w:rsidRPr="00B144B9" w:rsidRDefault="006743A8" w:rsidP="006743A8">
      <w:pPr>
        <w:pStyle w:val="Paragraphedeliste"/>
        <w:numPr>
          <w:ilvl w:val="0"/>
          <w:numId w:val="2"/>
        </w:numPr>
        <w:rPr>
          <w:b/>
          <w:bCs/>
          <w:sz w:val="24"/>
          <w:szCs w:val="24"/>
          <w:u w:val="single"/>
        </w:rPr>
      </w:pPr>
      <w:r w:rsidRPr="00B144B9">
        <w:rPr>
          <w:b/>
          <w:bCs/>
          <w:sz w:val="24"/>
          <w:szCs w:val="24"/>
          <w:u w:val="single"/>
        </w:rPr>
        <w:t>La responsabilité sociale de l’entreprise</w:t>
      </w:r>
    </w:p>
    <w:p w14:paraId="4BA56D37" w14:textId="6D6A48EB" w:rsidR="006743A8" w:rsidRPr="00B144B9" w:rsidRDefault="00B144B9" w:rsidP="00B144B9">
      <w:pPr>
        <w:spacing w:before="100" w:beforeAutospacing="1" w:after="100" w:afterAutospacing="1" w:line="240" w:lineRule="auto"/>
        <w:jc w:val="both"/>
        <w:rPr>
          <w:rFonts w:eastAsia="Times New Roman" w:cs="Arial"/>
          <w:lang w:eastAsia="fr-FR"/>
        </w:rPr>
      </w:pPr>
      <w:r>
        <w:rPr>
          <w:b/>
          <w:bCs/>
          <w:noProof/>
          <w:sz w:val="24"/>
          <w:szCs w:val="24"/>
        </w:rPr>
        <w:drawing>
          <wp:anchor distT="0" distB="0" distL="114300" distR="114300" simplePos="0" relativeHeight="251658240" behindDoc="0" locked="0" layoutInCell="1" allowOverlap="1" wp14:anchorId="4C8DA6A8" wp14:editId="26C5DA0E">
            <wp:simplePos x="0" y="0"/>
            <wp:positionH relativeFrom="margin">
              <wp:posOffset>1385570</wp:posOffset>
            </wp:positionH>
            <wp:positionV relativeFrom="paragraph">
              <wp:posOffset>624156</wp:posOffset>
            </wp:positionV>
            <wp:extent cx="3270494" cy="2613511"/>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E.png"/>
                    <pic:cNvPicPr/>
                  </pic:nvPicPr>
                  <pic:blipFill>
                    <a:blip r:embed="rId10">
                      <a:extLst>
                        <a:ext uri="{28A0092B-C50C-407E-A947-70E740481C1C}">
                          <a14:useLocalDpi xmlns:a14="http://schemas.microsoft.com/office/drawing/2010/main" val="0"/>
                        </a:ext>
                      </a:extLst>
                    </a:blip>
                    <a:stretch>
                      <a:fillRect/>
                    </a:stretch>
                  </pic:blipFill>
                  <pic:spPr>
                    <a:xfrm>
                      <a:off x="0" y="0"/>
                      <a:ext cx="3276986" cy="2618699"/>
                    </a:xfrm>
                    <a:prstGeom prst="rect">
                      <a:avLst/>
                    </a:prstGeom>
                  </pic:spPr>
                </pic:pic>
              </a:graphicData>
            </a:graphic>
            <wp14:sizeRelH relativeFrom="page">
              <wp14:pctWidth>0</wp14:pctWidth>
            </wp14:sizeRelH>
            <wp14:sizeRelV relativeFrom="page">
              <wp14:pctHeight>0</wp14:pctHeight>
            </wp14:sizeRelV>
          </wp:anchor>
        </w:drawing>
      </w:r>
      <w:r w:rsidRPr="00B144B9">
        <w:rPr>
          <w:rFonts w:eastAsia="Times New Roman" w:cs="Arial"/>
          <w:lang w:eastAsia="fr-FR"/>
        </w:rPr>
        <w:t xml:space="preserve">La RSE est un concept dans lequel les entreprises intègrent les préoccupations </w:t>
      </w:r>
      <w:r w:rsidRPr="00B144B9">
        <w:rPr>
          <w:rFonts w:eastAsia="Times New Roman" w:cs="Arial"/>
          <w:b/>
          <w:bCs/>
          <w:lang w:eastAsia="fr-FR"/>
        </w:rPr>
        <w:t>sociales, environnementales, et économiques</w:t>
      </w:r>
      <w:r w:rsidRPr="00B144B9">
        <w:rPr>
          <w:rFonts w:eastAsia="Times New Roman" w:cs="Arial"/>
          <w:lang w:eastAsia="fr-FR"/>
        </w:rPr>
        <w:t xml:space="preserve"> dans leurs activités et dans leurs interactions avec leurs parties prenantes sur une base volontaire.</w:t>
      </w:r>
    </w:p>
    <w:p w14:paraId="16934C15" w14:textId="62D3AB94" w:rsidR="006743A8" w:rsidRDefault="006743A8" w:rsidP="006743A8">
      <w:pPr>
        <w:rPr>
          <w:b/>
          <w:bCs/>
          <w:sz w:val="24"/>
          <w:szCs w:val="24"/>
        </w:rPr>
      </w:pPr>
    </w:p>
    <w:p w14:paraId="562FB685" w14:textId="7F79EBFF" w:rsidR="00B144B9" w:rsidRDefault="00B144B9" w:rsidP="006743A8">
      <w:pPr>
        <w:rPr>
          <w:b/>
          <w:bCs/>
          <w:sz w:val="24"/>
          <w:szCs w:val="24"/>
        </w:rPr>
      </w:pPr>
    </w:p>
    <w:p w14:paraId="035F941F" w14:textId="04C20DC1" w:rsidR="00B144B9" w:rsidRDefault="00B144B9" w:rsidP="006743A8">
      <w:pPr>
        <w:rPr>
          <w:b/>
          <w:bCs/>
          <w:sz w:val="24"/>
          <w:szCs w:val="24"/>
        </w:rPr>
      </w:pPr>
    </w:p>
    <w:p w14:paraId="23966A33" w14:textId="3755DF87" w:rsidR="00B144B9" w:rsidRDefault="00B144B9" w:rsidP="006743A8">
      <w:pPr>
        <w:rPr>
          <w:b/>
          <w:bCs/>
          <w:sz w:val="24"/>
          <w:szCs w:val="24"/>
        </w:rPr>
      </w:pPr>
    </w:p>
    <w:p w14:paraId="746CFD81" w14:textId="1446384D" w:rsidR="00B144B9" w:rsidRDefault="00B144B9" w:rsidP="006743A8">
      <w:pPr>
        <w:rPr>
          <w:b/>
          <w:bCs/>
          <w:sz w:val="24"/>
          <w:szCs w:val="24"/>
        </w:rPr>
      </w:pPr>
    </w:p>
    <w:p w14:paraId="64EA8DF4" w14:textId="1554BB62" w:rsidR="00B144B9" w:rsidRDefault="00B144B9" w:rsidP="006743A8">
      <w:pPr>
        <w:rPr>
          <w:b/>
          <w:bCs/>
          <w:sz w:val="24"/>
          <w:szCs w:val="24"/>
        </w:rPr>
      </w:pPr>
    </w:p>
    <w:p w14:paraId="6EA56E19" w14:textId="5B7DAA91" w:rsidR="00B144B9" w:rsidRDefault="00B144B9" w:rsidP="006743A8">
      <w:pPr>
        <w:rPr>
          <w:b/>
          <w:bCs/>
          <w:sz w:val="24"/>
          <w:szCs w:val="24"/>
        </w:rPr>
      </w:pPr>
    </w:p>
    <w:p w14:paraId="7F0575AE" w14:textId="77777777" w:rsidR="00B144B9" w:rsidRDefault="00B144B9" w:rsidP="006743A8">
      <w:pPr>
        <w:rPr>
          <w:b/>
          <w:bCs/>
          <w:sz w:val="24"/>
          <w:szCs w:val="24"/>
        </w:rPr>
      </w:pPr>
    </w:p>
    <w:p w14:paraId="0C93CABE" w14:textId="0F4B17AA" w:rsidR="00B144B9" w:rsidRDefault="00DC02E5" w:rsidP="00DC02E5">
      <w:pPr>
        <w:tabs>
          <w:tab w:val="left" w:pos="1292"/>
        </w:tabs>
        <w:rPr>
          <w:b/>
          <w:bCs/>
          <w:sz w:val="24"/>
          <w:szCs w:val="24"/>
        </w:rPr>
      </w:pPr>
      <w:r>
        <w:rPr>
          <w:b/>
          <w:bCs/>
          <w:sz w:val="24"/>
          <w:szCs w:val="24"/>
        </w:rPr>
        <w:tab/>
      </w:r>
    </w:p>
    <w:p w14:paraId="7B83A1DA" w14:textId="77777777" w:rsidR="00187A60" w:rsidRDefault="00187A60" w:rsidP="006743A8">
      <w:pPr>
        <w:rPr>
          <w:b/>
          <w:bCs/>
          <w:sz w:val="24"/>
          <w:szCs w:val="24"/>
        </w:rPr>
      </w:pPr>
    </w:p>
    <w:p w14:paraId="66D76255" w14:textId="7EF0499C" w:rsidR="006743A8" w:rsidRPr="00222AA9" w:rsidRDefault="006743A8" w:rsidP="006743A8">
      <w:pPr>
        <w:pStyle w:val="Paragraphedeliste"/>
        <w:numPr>
          <w:ilvl w:val="0"/>
          <w:numId w:val="2"/>
        </w:numPr>
        <w:rPr>
          <w:b/>
          <w:bCs/>
          <w:sz w:val="24"/>
          <w:szCs w:val="24"/>
          <w:u w:val="single"/>
        </w:rPr>
      </w:pPr>
      <w:r w:rsidRPr="00222AA9">
        <w:rPr>
          <w:b/>
          <w:bCs/>
          <w:sz w:val="24"/>
          <w:szCs w:val="24"/>
          <w:u w:val="single"/>
        </w:rPr>
        <w:lastRenderedPageBreak/>
        <w:t>Les normes qualité</w:t>
      </w:r>
    </w:p>
    <w:p w14:paraId="368CBBE1" w14:textId="6010A465" w:rsidR="002F34DF" w:rsidRPr="002F34DF" w:rsidRDefault="002F34DF" w:rsidP="002F34DF">
      <w:pPr>
        <w:jc w:val="both"/>
        <w:rPr>
          <w:rFonts w:cs="Arial"/>
        </w:rPr>
      </w:pPr>
      <w:r w:rsidRPr="002F34DF">
        <w:rPr>
          <w:rFonts w:cs="Arial"/>
        </w:rPr>
        <w:t>La qualité se définit par l’aptitude d’un bien ou service à satisfaire les besoins des clients à un coût raisonnable pour l’entreprise.</w:t>
      </w:r>
    </w:p>
    <w:p w14:paraId="21F99845" w14:textId="4645571A" w:rsidR="002F34DF" w:rsidRPr="002F34DF" w:rsidRDefault="002F34DF" w:rsidP="002F34DF">
      <w:pPr>
        <w:jc w:val="both"/>
        <w:rPr>
          <w:rFonts w:cs="Arial"/>
        </w:rPr>
      </w:pPr>
      <w:r w:rsidRPr="002F34DF">
        <w:rPr>
          <w:rFonts w:cs="Arial"/>
        </w:rPr>
        <w:t>Une démarche qualité est un ensemble d’actions et d’engagements pris pour améliorer la production, les conditions de travail, le management des salaires. Proposer de meilleurs produits et améliorer le niveau de qualité et de satisfaction des clients.</w:t>
      </w:r>
    </w:p>
    <w:p w14:paraId="7C1DE1F2" w14:textId="4D312DF0" w:rsidR="002F34DF" w:rsidRPr="002F34DF" w:rsidRDefault="002F34DF" w:rsidP="002F34DF">
      <w:pPr>
        <w:jc w:val="both"/>
        <w:rPr>
          <w:rFonts w:cs="Arial"/>
        </w:rPr>
      </w:pPr>
      <w:r w:rsidRPr="002F34DF">
        <w:rPr>
          <w:rFonts w:cs="Arial"/>
        </w:rPr>
        <w:t>Afin de garantir la qualité de ses produits, de ses services, ou de son processus de fabrication, l’entreprise peut choisir de rentrer dans une démarche de normalisation (ISO) de certification qualité (NF, CE) ou de labellisation (Qualibat, Label Rouge…).</w:t>
      </w:r>
    </w:p>
    <w:p w14:paraId="7DB4A849" w14:textId="10EF3217" w:rsidR="006743A8" w:rsidRPr="006743A8" w:rsidRDefault="006743A8" w:rsidP="006743A8">
      <w:pPr>
        <w:pStyle w:val="Paragraphedeliste"/>
        <w:rPr>
          <w:b/>
          <w:bCs/>
          <w:sz w:val="24"/>
          <w:szCs w:val="24"/>
        </w:rPr>
      </w:pPr>
    </w:p>
    <w:p w14:paraId="436143D8" w14:textId="77777777" w:rsidR="006743A8" w:rsidRDefault="006743A8" w:rsidP="006743A8">
      <w:pPr>
        <w:pStyle w:val="Paragraphedeliste"/>
      </w:pPr>
    </w:p>
    <w:sectPr w:rsidR="006743A8" w:rsidSect="006743A8">
      <w:footerReference w:type="default" r:id="rId11"/>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5A358" w14:textId="77777777" w:rsidR="00854DF8" w:rsidRDefault="00854DF8" w:rsidP="00B144B9">
      <w:pPr>
        <w:spacing w:after="0" w:line="240" w:lineRule="auto"/>
      </w:pPr>
      <w:r>
        <w:separator/>
      </w:r>
    </w:p>
  </w:endnote>
  <w:endnote w:type="continuationSeparator" w:id="0">
    <w:p w14:paraId="193FB699" w14:textId="77777777" w:rsidR="00854DF8" w:rsidRDefault="00854DF8" w:rsidP="00B1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1EB25" w14:textId="77777777" w:rsidR="004E30D7" w:rsidRDefault="004E30D7">
    <w:pPr>
      <w:pStyle w:val="Pieddepage"/>
      <w:jc w:val="right"/>
      <w:rPr>
        <w:color w:val="4472C4" w:themeColor="accent1"/>
        <w:sz w:val="20"/>
        <w:szCs w:val="20"/>
      </w:rPr>
    </w:pPr>
    <w:r>
      <w:rPr>
        <w:color w:val="4472C4" w:themeColor="accent1"/>
        <w:sz w:val="20"/>
        <w:szCs w:val="20"/>
      </w:rPr>
      <w:t xml:space="preserve">PREMIERE PROFESSIONNELLE – ECONOMIE – DROIT – DOSSIER 3 – SYNTHESE – </w:t>
    </w:r>
  </w:p>
  <w:p w14:paraId="73AA9190" w14:textId="2D66CCC0" w:rsidR="004E30D7" w:rsidRDefault="004E30D7">
    <w:pPr>
      <w:pStyle w:val="Pieddepage"/>
      <w:jc w:val="right"/>
    </w:pPr>
    <w:r>
      <w:rPr>
        <w:color w:val="4472C4" w:themeColor="accent1"/>
        <w:sz w:val="20"/>
        <w:szCs w:val="20"/>
      </w:rPr>
      <w:t xml:space="preserve">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6869A5EA" w14:textId="77777777" w:rsidR="004E30D7" w:rsidRDefault="004E30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7E2CB" w14:textId="77777777" w:rsidR="00854DF8" w:rsidRDefault="00854DF8" w:rsidP="00B144B9">
      <w:pPr>
        <w:spacing w:after="0" w:line="240" w:lineRule="auto"/>
      </w:pPr>
      <w:r>
        <w:separator/>
      </w:r>
    </w:p>
  </w:footnote>
  <w:footnote w:type="continuationSeparator" w:id="0">
    <w:p w14:paraId="449687DA" w14:textId="77777777" w:rsidR="00854DF8" w:rsidRDefault="00854DF8" w:rsidP="00B14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E6B63"/>
    <w:multiLevelType w:val="hybridMultilevel"/>
    <w:tmpl w:val="E78C9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CE331F"/>
    <w:multiLevelType w:val="hybridMultilevel"/>
    <w:tmpl w:val="C7A472A0"/>
    <w:lvl w:ilvl="0" w:tplc="39F020F6">
      <w:start w:val="1"/>
      <w:numFmt w:val="bullet"/>
      <w:lvlText w:val="-"/>
      <w:lvlJc w:val="left"/>
      <w:pPr>
        <w:ind w:left="720" w:hanging="360"/>
      </w:pPr>
      <w:rPr>
        <w:rFonts w:ascii="Comic Sans MS" w:eastAsiaTheme="minorHAnsi" w:hAnsi="Comic Sans MS"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534712"/>
    <w:multiLevelType w:val="hybridMultilevel"/>
    <w:tmpl w:val="CD9C53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250062F"/>
    <w:multiLevelType w:val="hybridMultilevel"/>
    <w:tmpl w:val="5ABC664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78F1C39"/>
    <w:multiLevelType w:val="hybridMultilevel"/>
    <w:tmpl w:val="F070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0D3780"/>
    <w:multiLevelType w:val="hybridMultilevel"/>
    <w:tmpl w:val="AEF216BE"/>
    <w:lvl w:ilvl="0" w:tplc="53DC7FA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5566788">
    <w:abstractNumId w:val="4"/>
  </w:num>
  <w:num w:numId="2" w16cid:durableId="1177384586">
    <w:abstractNumId w:val="2"/>
  </w:num>
  <w:num w:numId="3" w16cid:durableId="533269154">
    <w:abstractNumId w:val="0"/>
  </w:num>
  <w:num w:numId="4" w16cid:durableId="175273944">
    <w:abstractNumId w:val="1"/>
  </w:num>
  <w:num w:numId="5" w16cid:durableId="68160922">
    <w:abstractNumId w:val="3"/>
  </w:num>
  <w:num w:numId="6" w16cid:durableId="1715420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A8"/>
    <w:rsid w:val="00054484"/>
    <w:rsid w:val="00187A60"/>
    <w:rsid w:val="001B6400"/>
    <w:rsid w:val="00222AA9"/>
    <w:rsid w:val="002F34DF"/>
    <w:rsid w:val="003D77FC"/>
    <w:rsid w:val="004E30D7"/>
    <w:rsid w:val="00641871"/>
    <w:rsid w:val="006743A8"/>
    <w:rsid w:val="00854DF8"/>
    <w:rsid w:val="00A62925"/>
    <w:rsid w:val="00B144B9"/>
    <w:rsid w:val="00DC02E5"/>
    <w:rsid w:val="00DC2DB4"/>
    <w:rsid w:val="00F77BE9"/>
    <w:rsid w:val="00FD6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5932D"/>
  <w15:chartTrackingRefBased/>
  <w15:docId w15:val="{568A1147-F9F9-4EA9-BCE3-4B1236D5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A8"/>
    <w:rPr>
      <w:rFonts w:ascii="Arial" w:hAnsi="Arial"/>
    </w:rPr>
  </w:style>
  <w:style w:type="paragraph" w:styleId="Titre2">
    <w:name w:val="heading 2"/>
    <w:basedOn w:val="Normal"/>
    <w:link w:val="Titre2Car"/>
    <w:uiPriority w:val="9"/>
    <w:qFormat/>
    <w:rsid w:val="00DC02E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144B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74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43A8"/>
    <w:pPr>
      <w:ind w:left="720"/>
      <w:contextualSpacing/>
    </w:pPr>
  </w:style>
  <w:style w:type="character" w:customStyle="1" w:styleId="entete-art">
    <w:name w:val="entete-art"/>
    <w:basedOn w:val="Policepardfaut"/>
    <w:rsid w:val="00B144B9"/>
  </w:style>
  <w:style w:type="character" w:styleId="Accentuation">
    <w:name w:val="Emphasis"/>
    <w:basedOn w:val="Policepardfaut"/>
    <w:uiPriority w:val="20"/>
    <w:qFormat/>
    <w:rsid w:val="00B144B9"/>
    <w:rPr>
      <w:i/>
      <w:iCs/>
    </w:rPr>
  </w:style>
  <w:style w:type="character" w:styleId="Lienhypertexte">
    <w:name w:val="Hyperlink"/>
    <w:basedOn w:val="Policepardfaut"/>
    <w:uiPriority w:val="99"/>
    <w:semiHidden/>
    <w:unhideWhenUsed/>
    <w:rsid w:val="00B144B9"/>
    <w:rPr>
      <w:color w:val="0000FF"/>
      <w:u w:val="single"/>
    </w:rPr>
  </w:style>
  <w:style w:type="character" w:styleId="lev">
    <w:name w:val="Strong"/>
    <w:basedOn w:val="Policepardfaut"/>
    <w:uiPriority w:val="22"/>
    <w:qFormat/>
    <w:rsid w:val="00B144B9"/>
    <w:rPr>
      <w:b/>
      <w:bCs/>
    </w:rPr>
  </w:style>
  <w:style w:type="character" w:customStyle="1" w:styleId="Titre3Car">
    <w:name w:val="Titre 3 Car"/>
    <w:basedOn w:val="Policepardfaut"/>
    <w:link w:val="Titre3"/>
    <w:uiPriority w:val="9"/>
    <w:rsid w:val="00B144B9"/>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B144B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144B9"/>
    <w:pPr>
      <w:tabs>
        <w:tab w:val="center" w:pos="4536"/>
        <w:tab w:val="right" w:pos="9072"/>
      </w:tabs>
      <w:spacing w:after="0" w:line="240" w:lineRule="auto"/>
    </w:pPr>
  </w:style>
  <w:style w:type="character" w:customStyle="1" w:styleId="En-tteCar">
    <w:name w:val="En-tête Car"/>
    <w:basedOn w:val="Policepardfaut"/>
    <w:link w:val="En-tte"/>
    <w:uiPriority w:val="99"/>
    <w:rsid w:val="00B144B9"/>
    <w:rPr>
      <w:rFonts w:ascii="Arial" w:hAnsi="Arial"/>
    </w:rPr>
  </w:style>
  <w:style w:type="paragraph" w:styleId="Pieddepage">
    <w:name w:val="footer"/>
    <w:basedOn w:val="Normal"/>
    <w:link w:val="PieddepageCar"/>
    <w:uiPriority w:val="99"/>
    <w:unhideWhenUsed/>
    <w:rsid w:val="00B144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44B9"/>
    <w:rPr>
      <w:rFonts w:ascii="Arial" w:hAnsi="Arial"/>
    </w:rPr>
  </w:style>
  <w:style w:type="table" w:customStyle="1" w:styleId="Grilledutableau1">
    <w:name w:val="Grille du tableau1"/>
    <w:basedOn w:val="TableauNormal"/>
    <w:next w:val="Grilledutableau"/>
    <w:uiPriority w:val="59"/>
    <w:rsid w:val="00DC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DC02E5"/>
    <w:rPr>
      <w:rFonts w:ascii="Times New Roman" w:eastAsia="Times New Roman" w:hAnsi="Times New Roman" w:cs="Times New Roman"/>
      <w:b/>
      <w:bCs/>
      <w:sz w:val="36"/>
      <w:szCs w:val="36"/>
      <w:lang w:eastAsia="fr-FR"/>
    </w:rPr>
  </w:style>
  <w:style w:type="table" w:customStyle="1" w:styleId="Grilledutableau11">
    <w:name w:val="Grille du tableau11"/>
    <w:basedOn w:val="TableauNormal"/>
    <w:next w:val="Grilledutableau"/>
    <w:uiPriority w:val="59"/>
    <w:rsid w:val="00DC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ression.ooreka.fr/astuce/voir/748663/le-burn-ou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rudhommes.ooreka.fr/comprendre/harcelement-moral-prudhomm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5E321-0EA0-4AA2-9CE1-C4D150F9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2321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PREMIERE BACCALAUREAT PROFESSIONNEL – POINT ECONOMIQUE ET JURIDIQUE 3 - SYNTHESE</dc:creator>
  <cp:keywords/>
  <dc:description/>
  <cp:lastModifiedBy>JEREMY SENABRE</cp:lastModifiedBy>
  <cp:revision>2</cp:revision>
  <cp:lastPrinted>2020-08-03T05:01:00Z</cp:lastPrinted>
  <dcterms:created xsi:type="dcterms:W3CDTF">2024-06-09T15:59:00Z</dcterms:created>
  <dcterms:modified xsi:type="dcterms:W3CDTF">2024-06-09T15:59:00Z</dcterms:modified>
</cp:coreProperties>
</file>