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073256" w:rsidRPr="00073256" w14:paraId="6C2C4F40" w14:textId="77777777" w:rsidTr="005B64EC">
        <w:tc>
          <w:tcPr>
            <w:tcW w:w="4530" w:type="dxa"/>
            <w:vAlign w:val="center"/>
          </w:tcPr>
          <w:p w14:paraId="3C80755B" w14:textId="77777777" w:rsidR="00123301" w:rsidRPr="00073256" w:rsidRDefault="00123301" w:rsidP="00DB2DBD">
            <w:pPr>
              <w:jc w:val="center"/>
              <w:outlineLvl w:val="0"/>
              <w:rPr>
                <w:rFonts w:cs="Arial"/>
                <w:b/>
                <w:bCs/>
                <w:color w:val="006666"/>
                <w:sz w:val="24"/>
                <w:szCs w:val="24"/>
              </w:rPr>
            </w:pPr>
            <w:r w:rsidRPr="00073256">
              <w:rPr>
                <w:rFonts w:cs="Arial"/>
                <w:b/>
                <w:bCs/>
                <w:color w:val="006666"/>
                <w:sz w:val="24"/>
                <w:szCs w:val="24"/>
              </w:rPr>
              <w:t>Première baccalauréat professionnel AGOrA</w:t>
            </w:r>
          </w:p>
        </w:tc>
        <w:tc>
          <w:tcPr>
            <w:tcW w:w="4530" w:type="dxa"/>
            <w:vAlign w:val="center"/>
          </w:tcPr>
          <w:p w14:paraId="2722F522" w14:textId="77777777" w:rsidR="00123301" w:rsidRPr="00073256" w:rsidRDefault="00123301" w:rsidP="00DB2DBD">
            <w:pPr>
              <w:jc w:val="center"/>
              <w:outlineLvl w:val="0"/>
              <w:rPr>
                <w:rFonts w:cs="Arial"/>
                <w:b/>
                <w:bCs/>
                <w:color w:val="006666"/>
                <w:sz w:val="24"/>
                <w:szCs w:val="24"/>
              </w:rPr>
            </w:pPr>
            <w:r w:rsidRPr="00073256">
              <w:rPr>
                <w:rFonts w:cs="Arial"/>
                <w:b/>
                <w:bCs/>
                <w:color w:val="006666"/>
                <w:sz w:val="24"/>
                <w:szCs w:val="24"/>
              </w:rPr>
              <w:t>Co-intervention</w:t>
            </w:r>
          </w:p>
          <w:p w14:paraId="0322E15D" w14:textId="77777777" w:rsidR="00123301" w:rsidRPr="00073256" w:rsidRDefault="00123301" w:rsidP="00DB2DBD">
            <w:pPr>
              <w:jc w:val="center"/>
              <w:outlineLvl w:val="0"/>
              <w:rPr>
                <w:rFonts w:cs="Arial"/>
                <w:b/>
                <w:bCs/>
                <w:color w:val="006666"/>
                <w:sz w:val="24"/>
                <w:szCs w:val="24"/>
              </w:rPr>
            </w:pPr>
            <w:r w:rsidRPr="00073256">
              <w:rPr>
                <w:rFonts w:cs="Arial"/>
                <w:b/>
                <w:bCs/>
                <w:color w:val="006666"/>
                <w:sz w:val="24"/>
                <w:szCs w:val="24"/>
              </w:rPr>
              <w:t>Français – Gestion - Administration</w:t>
            </w:r>
          </w:p>
        </w:tc>
      </w:tr>
      <w:tr w:rsidR="00123301" w:rsidRPr="004C640D" w14:paraId="39C98B69" w14:textId="77777777" w:rsidTr="005B64EC">
        <w:tc>
          <w:tcPr>
            <w:tcW w:w="9060" w:type="dxa"/>
            <w:gridSpan w:val="2"/>
          </w:tcPr>
          <w:p w14:paraId="7AE9395E" w14:textId="3356394D" w:rsidR="00123301" w:rsidRDefault="00123301" w:rsidP="00DB2DBD">
            <w:pPr>
              <w:jc w:val="both"/>
              <w:outlineLvl w:val="0"/>
              <w:rPr>
                <w:rFonts w:cs="Arial"/>
                <w:b/>
                <w:bCs/>
                <w:sz w:val="24"/>
                <w:szCs w:val="24"/>
              </w:rPr>
            </w:pPr>
            <w:r w:rsidRPr="004C640D">
              <w:rPr>
                <w:rFonts w:cs="Arial"/>
                <w:b/>
                <w:bCs/>
                <w:sz w:val="24"/>
                <w:szCs w:val="24"/>
              </w:rPr>
              <w:t xml:space="preserve">Séance </w:t>
            </w:r>
            <w:r>
              <w:rPr>
                <w:rFonts w:cs="Arial"/>
                <w:b/>
                <w:bCs/>
                <w:sz w:val="24"/>
                <w:szCs w:val="24"/>
              </w:rPr>
              <w:t>4</w:t>
            </w:r>
            <w:r w:rsidRPr="004C640D">
              <w:rPr>
                <w:rFonts w:cs="Arial"/>
                <w:b/>
                <w:bCs/>
                <w:sz w:val="24"/>
                <w:szCs w:val="24"/>
              </w:rPr>
              <w:t xml:space="preserve"> – </w:t>
            </w:r>
            <w:r>
              <w:rPr>
                <w:rFonts w:cs="Arial"/>
                <w:b/>
                <w:bCs/>
                <w:sz w:val="24"/>
                <w:szCs w:val="24"/>
              </w:rPr>
              <w:t>Les jeux vidéo, état des lieux et analyse sociale</w:t>
            </w:r>
          </w:p>
          <w:p w14:paraId="604ACA4D" w14:textId="6A12150B" w:rsidR="00123301" w:rsidRDefault="00123301" w:rsidP="00DB2DBD">
            <w:pPr>
              <w:jc w:val="both"/>
              <w:outlineLvl w:val="0"/>
              <w:rPr>
                <w:rFonts w:cs="Arial"/>
                <w:b/>
                <w:bCs/>
                <w:sz w:val="24"/>
                <w:szCs w:val="24"/>
              </w:rPr>
            </w:pPr>
            <w:r>
              <w:rPr>
                <w:rFonts w:cs="Arial"/>
                <w:b/>
                <w:bCs/>
                <w:sz w:val="24"/>
                <w:szCs w:val="24"/>
              </w:rPr>
              <w:t xml:space="preserve">Durée : </w:t>
            </w:r>
            <w:r w:rsidR="000D5182">
              <w:rPr>
                <w:rFonts w:cs="Arial"/>
                <w:b/>
                <w:bCs/>
                <w:sz w:val="24"/>
                <w:szCs w:val="24"/>
              </w:rPr>
              <w:t>6</w:t>
            </w:r>
            <w:r>
              <w:rPr>
                <w:rFonts w:cs="Arial"/>
                <w:b/>
                <w:bCs/>
                <w:sz w:val="24"/>
                <w:szCs w:val="24"/>
              </w:rPr>
              <w:t xml:space="preserve"> heures</w:t>
            </w:r>
          </w:p>
          <w:p w14:paraId="303FCF41" w14:textId="77777777" w:rsidR="00123301" w:rsidRDefault="00123301" w:rsidP="00DB2DBD">
            <w:pPr>
              <w:jc w:val="both"/>
              <w:outlineLvl w:val="0"/>
              <w:rPr>
                <w:rFonts w:cs="Arial"/>
                <w:b/>
                <w:bCs/>
                <w:sz w:val="24"/>
                <w:szCs w:val="24"/>
              </w:rPr>
            </w:pPr>
            <w:r>
              <w:rPr>
                <w:rFonts w:cs="Arial"/>
                <w:b/>
                <w:bCs/>
                <w:sz w:val="24"/>
                <w:szCs w:val="24"/>
              </w:rPr>
              <w:t>Objectif :</w:t>
            </w:r>
          </w:p>
          <w:p w14:paraId="5F14462B" w14:textId="77777777" w:rsidR="00123301" w:rsidRPr="00053387" w:rsidRDefault="00123301" w:rsidP="00DB2DBD">
            <w:pPr>
              <w:pStyle w:val="Paragraphedeliste"/>
              <w:numPr>
                <w:ilvl w:val="0"/>
                <w:numId w:val="1"/>
              </w:numPr>
              <w:jc w:val="both"/>
              <w:outlineLvl w:val="0"/>
              <w:rPr>
                <w:rFonts w:cs="Arial"/>
              </w:rPr>
            </w:pPr>
            <w:r w:rsidRPr="00053387">
              <w:rPr>
                <w:rFonts w:cs="Arial"/>
              </w:rPr>
              <w:t>Mener une analyse économique du marché des jeux vidéo</w:t>
            </w:r>
          </w:p>
          <w:p w14:paraId="0B9F2311" w14:textId="7310F6CC" w:rsidR="00123301" w:rsidRPr="00053387" w:rsidRDefault="00123301" w:rsidP="00DB2DBD">
            <w:pPr>
              <w:pStyle w:val="Paragraphedeliste"/>
              <w:numPr>
                <w:ilvl w:val="0"/>
                <w:numId w:val="1"/>
              </w:numPr>
              <w:jc w:val="both"/>
              <w:outlineLvl w:val="0"/>
              <w:rPr>
                <w:rFonts w:cs="Arial"/>
              </w:rPr>
            </w:pPr>
            <w:r w:rsidRPr="00053387">
              <w:rPr>
                <w:rFonts w:cs="Arial"/>
              </w:rPr>
              <w:t>Dégager les apports et limites des jeux vidéo chez l’enfant</w:t>
            </w:r>
          </w:p>
          <w:p w14:paraId="39D64F09" w14:textId="77777777" w:rsidR="00123301" w:rsidRPr="00053387" w:rsidRDefault="00123301" w:rsidP="00DB2DBD">
            <w:pPr>
              <w:pStyle w:val="Paragraphedeliste"/>
              <w:numPr>
                <w:ilvl w:val="0"/>
                <w:numId w:val="1"/>
              </w:numPr>
              <w:jc w:val="both"/>
              <w:outlineLvl w:val="0"/>
              <w:rPr>
                <w:rFonts w:cs="Arial"/>
              </w:rPr>
            </w:pPr>
            <w:r w:rsidRPr="00053387">
              <w:rPr>
                <w:rFonts w:cs="Arial"/>
              </w:rPr>
              <w:t>Procéder à une analyse critique d’images</w:t>
            </w:r>
          </w:p>
          <w:p w14:paraId="1AFEBDF1" w14:textId="665E9AD9" w:rsidR="00053387" w:rsidRPr="000D5182" w:rsidRDefault="00053387" w:rsidP="00DB2DBD">
            <w:pPr>
              <w:pStyle w:val="Paragraphedeliste"/>
              <w:numPr>
                <w:ilvl w:val="0"/>
                <w:numId w:val="1"/>
              </w:numPr>
              <w:jc w:val="both"/>
              <w:outlineLvl w:val="0"/>
              <w:rPr>
                <w:rFonts w:cs="Arial"/>
                <w:sz w:val="24"/>
                <w:szCs w:val="24"/>
              </w:rPr>
            </w:pPr>
            <w:r w:rsidRPr="00053387">
              <w:rPr>
                <w:rFonts w:cs="Arial"/>
              </w:rPr>
              <w:t>Créer une affiche de sensibilisation</w:t>
            </w:r>
          </w:p>
        </w:tc>
      </w:tr>
    </w:tbl>
    <w:p w14:paraId="388287E8" w14:textId="77777777" w:rsidR="00DB2DBD" w:rsidRDefault="00DB2DBD" w:rsidP="00DB2DBD">
      <w:pPr>
        <w:spacing w:after="0"/>
        <w:jc w:val="both"/>
        <w:rPr>
          <w:b/>
          <w:bCs/>
          <w:color w:val="006666"/>
          <w:sz w:val="24"/>
          <w:szCs w:val="24"/>
        </w:rPr>
      </w:pPr>
    </w:p>
    <w:p w14:paraId="1FE35EC2" w14:textId="4DF68250" w:rsidR="000D5182" w:rsidRPr="00DB2DBD" w:rsidRDefault="000D5182" w:rsidP="00DB2DBD">
      <w:pPr>
        <w:spacing w:after="0"/>
        <w:jc w:val="both"/>
        <w:rPr>
          <w:b/>
          <w:bCs/>
          <w:color w:val="006666"/>
          <w:sz w:val="28"/>
          <w:szCs w:val="28"/>
        </w:rPr>
      </w:pPr>
      <w:r w:rsidRPr="00DB2DBD">
        <w:rPr>
          <w:b/>
          <w:bCs/>
          <w:color w:val="006666"/>
          <w:sz w:val="28"/>
          <w:szCs w:val="28"/>
        </w:rPr>
        <w:t>Partie 1 – Analyse économique du marché des jeux vidéo</w:t>
      </w:r>
    </w:p>
    <w:p w14:paraId="04F2152D" w14:textId="77777777" w:rsidR="00DB2DBD" w:rsidRPr="000D5182" w:rsidRDefault="00DB2DBD" w:rsidP="00DB2DBD">
      <w:pPr>
        <w:spacing w:after="0"/>
        <w:jc w:val="both"/>
        <w:rPr>
          <w:b/>
          <w:bCs/>
          <w:color w:val="006666"/>
          <w:sz w:val="24"/>
          <w:szCs w:val="24"/>
        </w:rPr>
      </w:pPr>
    </w:p>
    <w:p w14:paraId="501AF580" w14:textId="56231838" w:rsidR="000D5182" w:rsidRDefault="000D5182" w:rsidP="00DB2DBD">
      <w:pPr>
        <w:spacing w:after="0"/>
        <w:jc w:val="both"/>
      </w:pPr>
      <w:r>
        <w:t>Analysez l’ensemble documentaire (</w:t>
      </w:r>
      <w:r w:rsidRPr="003A4A30">
        <w:rPr>
          <w:b/>
          <w:color w:val="FF0000"/>
        </w:rPr>
        <w:t xml:space="preserve">DOCUMENTS 1 à </w:t>
      </w:r>
      <w:r>
        <w:rPr>
          <w:b/>
          <w:color w:val="FF0000"/>
        </w:rPr>
        <w:t>4</w:t>
      </w:r>
      <w:r>
        <w:t>) et répondez aux questions suivantes.</w:t>
      </w:r>
    </w:p>
    <w:p w14:paraId="1B64F104" w14:textId="77777777" w:rsidR="00DB2DBD" w:rsidRDefault="00DB2DBD" w:rsidP="00DB2DBD">
      <w:pPr>
        <w:spacing w:after="0"/>
        <w:jc w:val="both"/>
      </w:pPr>
    </w:p>
    <w:p w14:paraId="35491687" w14:textId="61CAF0CB" w:rsidR="000D5182" w:rsidRDefault="000D5182" w:rsidP="00DB2DBD">
      <w:pPr>
        <w:pStyle w:val="Paragraphedeliste"/>
        <w:numPr>
          <w:ilvl w:val="0"/>
          <w:numId w:val="2"/>
        </w:numPr>
        <w:spacing w:after="0"/>
        <w:jc w:val="both"/>
      </w:pPr>
      <w:r>
        <w:t>Identifiez le marché étudié.</w:t>
      </w:r>
    </w:p>
    <w:p w14:paraId="4FF20984" w14:textId="77777777" w:rsidR="000D5182" w:rsidRDefault="000D5182" w:rsidP="00DB2DBD">
      <w:pPr>
        <w:pStyle w:val="Paragraphedeliste"/>
        <w:spacing w:after="0"/>
        <w:jc w:val="both"/>
      </w:pPr>
    </w:p>
    <w:p w14:paraId="0B457E29" w14:textId="1F194C04" w:rsidR="000D5182" w:rsidRDefault="000D5182" w:rsidP="00DB2DBD">
      <w:pPr>
        <w:pStyle w:val="Paragraphedeliste"/>
        <w:numPr>
          <w:ilvl w:val="0"/>
          <w:numId w:val="2"/>
        </w:numPr>
        <w:spacing w:after="0"/>
        <w:jc w:val="both"/>
      </w:pPr>
      <w:r>
        <w:t>Repérez le leader du marché.</w:t>
      </w:r>
    </w:p>
    <w:p w14:paraId="171EE34B" w14:textId="77777777" w:rsidR="000D5182" w:rsidRDefault="000D5182" w:rsidP="00DB2DBD">
      <w:pPr>
        <w:pStyle w:val="Paragraphedeliste"/>
        <w:spacing w:after="0"/>
        <w:jc w:val="both"/>
      </w:pPr>
    </w:p>
    <w:p w14:paraId="665D16E6" w14:textId="3637D624" w:rsidR="000D5182" w:rsidRDefault="000D5182" w:rsidP="00DB2DBD">
      <w:pPr>
        <w:pStyle w:val="Paragraphedeliste"/>
        <w:numPr>
          <w:ilvl w:val="0"/>
          <w:numId w:val="2"/>
        </w:numPr>
        <w:spacing w:after="0"/>
        <w:jc w:val="both"/>
      </w:pPr>
      <w:r>
        <w:t xml:space="preserve">Repérez le challenger et donnez deux suiveurs. </w:t>
      </w:r>
    </w:p>
    <w:p w14:paraId="050DF734" w14:textId="77777777" w:rsidR="000D5182" w:rsidRDefault="000D5182" w:rsidP="00DB2DBD">
      <w:pPr>
        <w:pStyle w:val="Paragraphedeliste"/>
        <w:spacing w:after="0"/>
        <w:jc w:val="both"/>
      </w:pPr>
    </w:p>
    <w:p w14:paraId="03D12883" w14:textId="7368ED8F" w:rsidR="000D5182" w:rsidRDefault="000D5182" w:rsidP="00DB2DBD">
      <w:pPr>
        <w:pStyle w:val="Paragraphedeliste"/>
        <w:numPr>
          <w:ilvl w:val="0"/>
          <w:numId w:val="2"/>
        </w:numPr>
        <w:spacing w:after="0"/>
        <w:jc w:val="both"/>
      </w:pPr>
      <w:r>
        <w:t>Analysez la situation économique du marché en 2021.</w:t>
      </w:r>
    </w:p>
    <w:p w14:paraId="1B6E8C40" w14:textId="77777777" w:rsidR="00DB2DBD" w:rsidRDefault="00DB2DBD" w:rsidP="00DB2DBD">
      <w:pPr>
        <w:pStyle w:val="Paragraphedeliste"/>
        <w:spacing w:after="0"/>
        <w:jc w:val="both"/>
      </w:pPr>
    </w:p>
    <w:p w14:paraId="25A0AB6B" w14:textId="5474EB1C" w:rsidR="000D5182" w:rsidRDefault="00DB2DBD" w:rsidP="00DB2DBD">
      <w:pPr>
        <w:pStyle w:val="Paragraphedeliste"/>
        <w:numPr>
          <w:ilvl w:val="0"/>
          <w:numId w:val="2"/>
        </w:numPr>
        <w:spacing w:after="0"/>
        <w:jc w:val="both"/>
      </w:pPr>
      <w:r>
        <w:t>Dégagez l’indicateur utilisé pour comparer l’offre sur ce marché.</w:t>
      </w:r>
    </w:p>
    <w:p w14:paraId="562629C7" w14:textId="77777777" w:rsidR="000D5182" w:rsidRDefault="000D5182" w:rsidP="00DB2DBD">
      <w:pPr>
        <w:pStyle w:val="Paragraphedeliste"/>
        <w:spacing w:after="0"/>
        <w:jc w:val="both"/>
      </w:pPr>
    </w:p>
    <w:p w14:paraId="0C5B3020" w14:textId="2AA8D571" w:rsidR="000D5182" w:rsidRDefault="00DB2DBD" w:rsidP="00DB2DBD">
      <w:pPr>
        <w:pStyle w:val="Paragraphedeliste"/>
        <w:numPr>
          <w:ilvl w:val="0"/>
          <w:numId w:val="2"/>
        </w:numPr>
        <w:spacing w:after="0"/>
        <w:jc w:val="both"/>
      </w:pPr>
      <w:r>
        <w:t>Pour 2021, identifiez l’écosystème</w:t>
      </w:r>
      <w:r w:rsidR="000D5182">
        <w:t xml:space="preserve"> :</w:t>
      </w:r>
    </w:p>
    <w:p w14:paraId="2A1120C0" w14:textId="77777777" w:rsidR="00DB2DBD" w:rsidRDefault="00DB2DBD" w:rsidP="00DB2DBD">
      <w:pPr>
        <w:pStyle w:val="Paragraphedeliste"/>
        <w:spacing w:after="0"/>
        <w:jc w:val="both"/>
      </w:pPr>
    </w:p>
    <w:p w14:paraId="287C4CD1" w14:textId="3485B464" w:rsidR="000D5182" w:rsidRDefault="000D5182" w:rsidP="00DB2DBD">
      <w:pPr>
        <w:pStyle w:val="Paragraphedeliste"/>
        <w:numPr>
          <w:ilvl w:val="1"/>
          <w:numId w:val="2"/>
        </w:numPr>
        <w:spacing w:after="0"/>
        <w:jc w:val="both"/>
      </w:pPr>
      <w:r>
        <w:t>Le plus dynamique sur le marché</w:t>
      </w:r>
      <w:r w:rsidR="00DB2DBD">
        <w:t>.</w:t>
      </w:r>
    </w:p>
    <w:p w14:paraId="30C94E3B" w14:textId="77777777" w:rsidR="00DB2DBD" w:rsidRDefault="00DB2DBD" w:rsidP="00DB2DBD">
      <w:pPr>
        <w:pStyle w:val="Paragraphedeliste"/>
        <w:spacing w:after="0"/>
        <w:ind w:left="1440"/>
        <w:jc w:val="both"/>
      </w:pPr>
    </w:p>
    <w:p w14:paraId="3970FB05" w14:textId="36933C63" w:rsidR="000D5182" w:rsidRDefault="000D5182" w:rsidP="00DB2DBD">
      <w:pPr>
        <w:pStyle w:val="Paragraphedeliste"/>
        <w:numPr>
          <w:ilvl w:val="1"/>
          <w:numId w:val="2"/>
        </w:numPr>
        <w:spacing w:after="0"/>
        <w:jc w:val="both"/>
      </w:pPr>
      <w:r>
        <w:t>Le plus performant</w:t>
      </w:r>
      <w:r w:rsidR="00DB2DBD">
        <w:t>.</w:t>
      </w:r>
    </w:p>
    <w:p w14:paraId="7F06E86A" w14:textId="77777777" w:rsidR="000D5182" w:rsidRDefault="000D5182" w:rsidP="00DB2DBD">
      <w:pPr>
        <w:pStyle w:val="Paragraphedeliste"/>
        <w:spacing w:after="0"/>
        <w:jc w:val="both"/>
      </w:pPr>
    </w:p>
    <w:p w14:paraId="470F3008" w14:textId="165BC2F3" w:rsidR="000D5182" w:rsidRDefault="000D5182" w:rsidP="00DB2DBD">
      <w:pPr>
        <w:pStyle w:val="Paragraphedeliste"/>
        <w:numPr>
          <w:ilvl w:val="0"/>
          <w:numId w:val="2"/>
        </w:numPr>
        <w:spacing w:after="0"/>
        <w:jc w:val="both"/>
      </w:pPr>
      <w:r>
        <w:t>Expliquez les raisons pour lesquelles le marché du jeu vidéo est qualifié de dynamique.</w:t>
      </w:r>
    </w:p>
    <w:p w14:paraId="38639F5C" w14:textId="77777777" w:rsidR="000D5182" w:rsidRDefault="000D5182" w:rsidP="00DB2DBD">
      <w:pPr>
        <w:pStyle w:val="Paragraphedeliste"/>
        <w:spacing w:after="0"/>
        <w:jc w:val="both"/>
      </w:pPr>
    </w:p>
    <w:p w14:paraId="29166498" w14:textId="4FE7C0B8" w:rsidR="000D5182" w:rsidRDefault="000D5182" w:rsidP="00DB2DBD">
      <w:pPr>
        <w:pStyle w:val="Paragraphedeliste"/>
        <w:numPr>
          <w:ilvl w:val="0"/>
          <w:numId w:val="2"/>
        </w:numPr>
        <w:spacing w:after="0"/>
        <w:jc w:val="both"/>
      </w:pPr>
      <w:r>
        <w:t xml:space="preserve">À partir des informations à votre disposition, dégagez le profil d’un demandeur (client/utilisateur) sur ce marché. </w:t>
      </w:r>
    </w:p>
    <w:p w14:paraId="08D91FE0" w14:textId="77777777" w:rsidR="00DB2DBD" w:rsidRDefault="00DB2DBD" w:rsidP="00DB2DBD">
      <w:pPr>
        <w:pStyle w:val="Paragraphedeliste"/>
        <w:spacing w:after="0"/>
        <w:jc w:val="both"/>
      </w:pPr>
    </w:p>
    <w:p w14:paraId="60682786" w14:textId="431019DA" w:rsidR="00DB2DBD" w:rsidRPr="00DB2DBD" w:rsidRDefault="00DB2DBD" w:rsidP="00DB2DBD">
      <w:pPr>
        <w:spacing w:after="0"/>
        <w:jc w:val="both"/>
        <w:rPr>
          <w:b/>
          <w:bCs/>
          <w:color w:val="006666"/>
          <w:sz w:val="28"/>
          <w:szCs w:val="28"/>
        </w:rPr>
      </w:pPr>
      <w:r w:rsidRPr="00DB2DBD">
        <w:rPr>
          <w:b/>
          <w:bCs/>
          <w:color w:val="006666"/>
          <w:sz w:val="28"/>
          <w:szCs w:val="28"/>
        </w:rPr>
        <w:t>Partie 2 – Dégager les apports et limites des jeux vidéo chez l’enfant</w:t>
      </w:r>
    </w:p>
    <w:p w14:paraId="6967D874" w14:textId="77777777" w:rsidR="00DB2DBD" w:rsidRDefault="00DB2DBD" w:rsidP="00DB2DBD">
      <w:pPr>
        <w:spacing w:after="0"/>
        <w:jc w:val="both"/>
      </w:pPr>
    </w:p>
    <w:p w14:paraId="5BBC946A" w14:textId="0CA87D5D" w:rsidR="00DB2DBD" w:rsidRDefault="00DB2DBD" w:rsidP="00DB2DBD">
      <w:pPr>
        <w:pStyle w:val="Paragraphedeliste"/>
        <w:numPr>
          <w:ilvl w:val="0"/>
          <w:numId w:val="2"/>
        </w:numPr>
        <w:spacing w:after="0"/>
        <w:jc w:val="both"/>
      </w:pPr>
      <w:r w:rsidRPr="00DB2DBD">
        <w:t xml:space="preserve">Prenez connaissance du </w:t>
      </w:r>
      <w:r w:rsidRPr="00DB2DBD">
        <w:rPr>
          <w:b/>
          <w:bCs/>
          <w:color w:val="FF0000"/>
        </w:rPr>
        <w:t>DOCUMENT 5</w:t>
      </w:r>
      <w:r w:rsidRPr="00DB2DBD">
        <w:rPr>
          <w:color w:val="FF0000"/>
        </w:rPr>
        <w:t xml:space="preserve"> </w:t>
      </w:r>
      <w:r w:rsidRPr="00DB2DBD">
        <w:t>et proposez une analyse comparative des avantages et limites des jeux vidéo chez l’enfant</w:t>
      </w:r>
      <w:r>
        <w:t>.</w:t>
      </w:r>
    </w:p>
    <w:p w14:paraId="36DE19F9" w14:textId="77777777" w:rsidR="00DB2DBD" w:rsidRDefault="00DB2DBD" w:rsidP="00DB2DBD">
      <w:pPr>
        <w:spacing w:after="0"/>
        <w:jc w:val="both"/>
      </w:pPr>
    </w:p>
    <w:p w14:paraId="5FD97D24" w14:textId="01974059" w:rsidR="00DB2DBD" w:rsidRPr="00DB2DBD" w:rsidRDefault="00DB2DBD" w:rsidP="00DB2DBD">
      <w:pPr>
        <w:spacing w:after="0"/>
        <w:jc w:val="both"/>
        <w:rPr>
          <w:b/>
          <w:bCs/>
          <w:color w:val="006666"/>
          <w:sz w:val="28"/>
          <w:szCs w:val="28"/>
        </w:rPr>
      </w:pPr>
      <w:r w:rsidRPr="00DB2DBD">
        <w:rPr>
          <w:b/>
          <w:bCs/>
          <w:color w:val="006666"/>
          <w:sz w:val="28"/>
          <w:szCs w:val="28"/>
        </w:rPr>
        <w:t>Partie 3 – Analyse d’images</w:t>
      </w:r>
    </w:p>
    <w:p w14:paraId="228C5679" w14:textId="77777777" w:rsidR="00DB2DBD" w:rsidRDefault="00DB2DBD" w:rsidP="00DB2DBD">
      <w:pPr>
        <w:spacing w:after="0"/>
        <w:jc w:val="both"/>
        <w:rPr>
          <w:b/>
          <w:bCs/>
          <w:color w:val="006666"/>
          <w:sz w:val="24"/>
          <w:szCs w:val="24"/>
        </w:rPr>
      </w:pPr>
    </w:p>
    <w:p w14:paraId="79BDACC5" w14:textId="47193F79" w:rsidR="00DB2DBD" w:rsidRPr="00DB2DBD" w:rsidRDefault="004B7CCE" w:rsidP="00DB2DBD">
      <w:pPr>
        <w:pStyle w:val="Paragraphedeliste"/>
        <w:numPr>
          <w:ilvl w:val="0"/>
          <w:numId w:val="2"/>
        </w:numPr>
        <w:spacing w:after="0"/>
        <w:jc w:val="both"/>
      </w:pPr>
      <w:r>
        <w:t>É</w:t>
      </w:r>
      <w:r w:rsidR="00DB2DBD" w:rsidRPr="00DB2DBD">
        <w:t xml:space="preserve">tudiez désormais les </w:t>
      </w:r>
      <w:r w:rsidR="00DB2DBD" w:rsidRPr="00DB2DBD">
        <w:rPr>
          <w:b/>
          <w:bCs/>
          <w:color w:val="FF0000"/>
        </w:rPr>
        <w:t>DOCUMENTS 6 et 7</w:t>
      </w:r>
      <w:r w:rsidR="00DB2DBD" w:rsidRPr="00DB2DBD">
        <w:t xml:space="preserve"> et analysez les images en complétant </w:t>
      </w:r>
      <w:r w:rsidR="00DB2DBD" w:rsidRPr="00DB2DBD">
        <w:rPr>
          <w:b/>
          <w:bCs/>
          <w:color w:val="FF0000"/>
        </w:rPr>
        <w:t>l’ANNEXE 1</w:t>
      </w:r>
      <w:r w:rsidR="00DB2DBD">
        <w:t>.</w:t>
      </w:r>
    </w:p>
    <w:p w14:paraId="08177B23" w14:textId="07DBA77D" w:rsidR="00DB2DBD" w:rsidRDefault="00DB2DBD" w:rsidP="00DB2DBD">
      <w:pPr>
        <w:spacing w:after="0"/>
        <w:jc w:val="both"/>
        <w:rPr>
          <w:b/>
          <w:bCs/>
          <w:color w:val="006666"/>
          <w:sz w:val="24"/>
          <w:szCs w:val="24"/>
        </w:rPr>
      </w:pPr>
    </w:p>
    <w:p w14:paraId="4384D4BF" w14:textId="26AEA88A" w:rsidR="00C542F0" w:rsidRPr="00DB2DBD" w:rsidRDefault="00C542F0" w:rsidP="00C542F0">
      <w:pPr>
        <w:spacing w:after="0"/>
        <w:jc w:val="both"/>
        <w:rPr>
          <w:b/>
          <w:bCs/>
          <w:color w:val="006666"/>
          <w:sz w:val="28"/>
          <w:szCs w:val="28"/>
        </w:rPr>
      </w:pPr>
      <w:r w:rsidRPr="00DB2DBD">
        <w:rPr>
          <w:b/>
          <w:bCs/>
          <w:color w:val="006666"/>
          <w:sz w:val="28"/>
          <w:szCs w:val="28"/>
        </w:rPr>
        <w:t xml:space="preserve">Partie </w:t>
      </w:r>
      <w:r>
        <w:rPr>
          <w:b/>
          <w:bCs/>
          <w:color w:val="006666"/>
          <w:sz w:val="28"/>
          <w:szCs w:val="28"/>
        </w:rPr>
        <w:t>4</w:t>
      </w:r>
      <w:r w:rsidRPr="00DB2DBD">
        <w:rPr>
          <w:b/>
          <w:bCs/>
          <w:color w:val="006666"/>
          <w:sz w:val="28"/>
          <w:szCs w:val="28"/>
        </w:rPr>
        <w:t xml:space="preserve"> – </w:t>
      </w:r>
      <w:r>
        <w:rPr>
          <w:b/>
          <w:bCs/>
          <w:color w:val="006666"/>
          <w:sz w:val="28"/>
          <w:szCs w:val="28"/>
        </w:rPr>
        <w:t>Travail d’argumentation</w:t>
      </w:r>
    </w:p>
    <w:p w14:paraId="0902793D" w14:textId="77777777" w:rsidR="00DB2DBD" w:rsidRPr="00DB2DBD" w:rsidRDefault="00DB2DBD" w:rsidP="00DB2DBD">
      <w:pPr>
        <w:spacing w:after="0"/>
        <w:jc w:val="both"/>
      </w:pPr>
    </w:p>
    <w:p w14:paraId="67618478" w14:textId="3AFB1A76" w:rsidR="00C542F0" w:rsidRPr="00C542F0" w:rsidRDefault="00C542F0" w:rsidP="00DB2DBD">
      <w:pPr>
        <w:spacing w:after="0"/>
        <w:jc w:val="both"/>
      </w:pPr>
      <w:r w:rsidRPr="00C542F0">
        <w:t>Vous travaillez durant les vacances scolaires dans un centre d’animation pour enfants et adolescents</w:t>
      </w:r>
      <w:r>
        <w:t xml:space="preserve"> jusqu’à 14 ans</w:t>
      </w:r>
      <w:r w:rsidRPr="00C542F0">
        <w:t xml:space="preserve">. La directrice de l’établissement a décidé de mettre en place une semaine sans jeux vidéo </w:t>
      </w:r>
      <w:r>
        <w:t xml:space="preserve">du </w:t>
      </w:r>
      <w:r w:rsidRPr="00C542F0">
        <w:t xml:space="preserve">03 au 07 juillet. Elle souhaite associer les parents dans cette démarche afin de limiter </w:t>
      </w:r>
      <w:r>
        <w:t>les</w:t>
      </w:r>
      <w:r w:rsidRPr="00C542F0">
        <w:t xml:space="preserve"> usage</w:t>
      </w:r>
      <w:r>
        <w:t>s</w:t>
      </w:r>
      <w:r w:rsidRPr="00C542F0">
        <w:t xml:space="preserve"> au sein du centre mais aussi du domicile.</w:t>
      </w:r>
    </w:p>
    <w:p w14:paraId="016667FF" w14:textId="77777777" w:rsidR="00C542F0" w:rsidRDefault="00C542F0" w:rsidP="00DB2DBD">
      <w:pPr>
        <w:spacing w:after="0"/>
        <w:jc w:val="both"/>
        <w:rPr>
          <w:b/>
          <w:bCs/>
          <w:color w:val="FF0000"/>
        </w:rPr>
      </w:pPr>
    </w:p>
    <w:p w14:paraId="5B1DE4CC" w14:textId="23185D87" w:rsidR="000D5182" w:rsidRPr="00C542F0" w:rsidRDefault="00C542F0" w:rsidP="00DB2DBD">
      <w:pPr>
        <w:spacing w:after="0"/>
        <w:jc w:val="both"/>
      </w:pPr>
      <w:r w:rsidRPr="00C542F0">
        <w:t xml:space="preserve">Elle vous charge de réaliser une affiche de sensibilisation sur ce projet. </w:t>
      </w:r>
    </w:p>
    <w:p w14:paraId="78C8D569" w14:textId="4BB02763" w:rsidR="00C542F0" w:rsidRPr="00C542F0" w:rsidRDefault="00C542F0" w:rsidP="00DB2DBD">
      <w:pPr>
        <w:spacing w:after="0"/>
        <w:jc w:val="both"/>
      </w:pPr>
    </w:p>
    <w:p w14:paraId="3FE3DFC0" w14:textId="115E36E0" w:rsidR="00C542F0" w:rsidRPr="004B7CCE" w:rsidRDefault="00C542F0" w:rsidP="00DB2DBD">
      <w:pPr>
        <w:spacing w:after="0"/>
        <w:jc w:val="both"/>
        <w:rPr>
          <w:b/>
          <w:bCs/>
        </w:rPr>
      </w:pPr>
      <w:r w:rsidRPr="004B7CCE">
        <w:rPr>
          <w:b/>
          <w:bCs/>
        </w:rPr>
        <w:t>Votre travail :</w:t>
      </w:r>
    </w:p>
    <w:p w14:paraId="666BFB5A" w14:textId="57968C94" w:rsidR="00C542F0" w:rsidRPr="00C542F0" w:rsidRDefault="00C542F0" w:rsidP="00DB2DBD">
      <w:pPr>
        <w:spacing w:after="0"/>
        <w:jc w:val="both"/>
      </w:pPr>
    </w:p>
    <w:p w14:paraId="459BDE49" w14:textId="3C512F30" w:rsidR="00C542F0" w:rsidRPr="00C542F0" w:rsidRDefault="004B7CCE" w:rsidP="004B7CCE">
      <w:pPr>
        <w:pStyle w:val="Paragraphedeliste"/>
        <w:numPr>
          <w:ilvl w:val="0"/>
          <w:numId w:val="2"/>
        </w:numPr>
        <w:spacing w:after="0"/>
        <w:jc w:val="both"/>
      </w:pPr>
      <w:r>
        <w:t>À</w:t>
      </w:r>
      <w:r w:rsidR="00C542F0" w:rsidRPr="00C542F0">
        <w:t xml:space="preserve"> partir des travaux réalisés précédemment, formez un binôme de travail et réalisez un projet d’affiche mettant en avant </w:t>
      </w:r>
      <w:r w:rsidR="00C542F0">
        <w:t>la démarche. Vous veillerez à sélectionner des arguments pertinents</w:t>
      </w:r>
      <w:r>
        <w:t xml:space="preserve"> pour faire adhérer les parents au projet.</w:t>
      </w:r>
    </w:p>
    <w:p w14:paraId="24DF4E30" w14:textId="77777777" w:rsidR="000D5182" w:rsidRPr="00C542F0" w:rsidRDefault="000D5182" w:rsidP="00DB2DBD">
      <w:pPr>
        <w:spacing w:after="0"/>
        <w:jc w:val="both"/>
      </w:pPr>
    </w:p>
    <w:p w14:paraId="25C74661" w14:textId="77777777" w:rsidR="000D5182" w:rsidRDefault="000D5182" w:rsidP="00DB2DBD">
      <w:pPr>
        <w:spacing w:after="0"/>
        <w:jc w:val="both"/>
        <w:rPr>
          <w:b/>
          <w:bCs/>
          <w:color w:val="FF0000"/>
        </w:rPr>
      </w:pPr>
    </w:p>
    <w:p w14:paraId="2E20E3DD" w14:textId="090346F9" w:rsidR="00123301" w:rsidRDefault="00123301" w:rsidP="00DB2DBD">
      <w:pPr>
        <w:spacing w:before="100" w:beforeAutospacing="1" w:after="100" w:afterAutospacing="1" w:line="240" w:lineRule="auto"/>
        <w:jc w:val="both"/>
        <w:outlineLvl w:val="0"/>
        <w:rPr>
          <w:rFonts w:cs="Arial"/>
          <w:b/>
          <w:bCs/>
          <w:color w:val="FF0000"/>
          <w:sz w:val="24"/>
          <w:szCs w:val="24"/>
        </w:rPr>
      </w:pPr>
    </w:p>
    <w:p w14:paraId="5DC66F3C" w14:textId="20A63427" w:rsidR="004B7CCE" w:rsidRDefault="004B7CCE" w:rsidP="00DB2DBD">
      <w:pPr>
        <w:spacing w:before="100" w:beforeAutospacing="1" w:after="100" w:afterAutospacing="1" w:line="240" w:lineRule="auto"/>
        <w:jc w:val="both"/>
        <w:outlineLvl w:val="0"/>
        <w:rPr>
          <w:rFonts w:cs="Arial"/>
          <w:b/>
          <w:bCs/>
          <w:color w:val="FF0000"/>
          <w:sz w:val="24"/>
          <w:szCs w:val="24"/>
        </w:rPr>
      </w:pPr>
    </w:p>
    <w:p w14:paraId="232B9077" w14:textId="5951E5F8" w:rsidR="004B7CCE" w:rsidRDefault="004B7CCE" w:rsidP="00DB2DBD">
      <w:pPr>
        <w:spacing w:before="100" w:beforeAutospacing="1" w:after="100" w:afterAutospacing="1" w:line="240" w:lineRule="auto"/>
        <w:jc w:val="both"/>
        <w:outlineLvl w:val="0"/>
        <w:rPr>
          <w:rFonts w:cs="Arial"/>
          <w:b/>
          <w:bCs/>
          <w:color w:val="FF0000"/>
          <w:sz w:val="24"/>
          <w:szCs w:val="24"/>
        </w:rPr>
      </w:pPr>
    </w:p>
    <w:p w14:paraId="35F03289" w14:textId="5ACF8AA2" w:rsidR="004B7CCE" w:rsidRDefault="004B7CCE" w:rsidP="00DB2DBD">
      <w:pPr>
        <w:spacing w:before="100" w:beforeAutospacing="1" w:after="100" w:afterAutospacing="1" w:line="240" w:lineRule="auto"/>
        <w:jc w:val="both"/>
        <w:outlineLvl w:val="0"/>
        <w:rPr>
          <w:rFonts w:cs="Arial"/>
          <w:b/>
          <w:bCs/>
          <w:color w:val="FF0000"/>
          <w:sz w:val="24"/>
          <w:szCs w:val="24"/>
        </w:rPr>
      </w:pPr>
    </w:p>
    <w:p w14:paraId="67065306" w14:textId="78ABF5C7" w:rsidR="004B7CCE" w:rsidRDefault="004B7CCE" w:rsidP="00DB2DBD">
      <w:pPr>
        <w:spacing w:before="100" w:beforeAutospacing="1" w:after="100" w:afterAutospacing="1" w:line="240" w:lineRule="auto"/>
        <w:jc w:val="both"/>
        <w:outlineLvl w:val="0"/>
        <w:rPr>
          <w:rFonts w:cs="Arial"/>
          <w:b/>
          <w:bCs/>
          <w:color w:val="FF0000"/>
          <w:sz w:val="24"/>
          <w:szCs w:val="24"/>
        </w:rPr>
      </w:pPr>
    </w:p>
    <w:p w14:paraId="7800C302" w14:textId="50461D56" w:rsidR="004B7CCE" w:rsidRDefault="004B7CCE" w:rsidP="00DB2DBD">
      <w:pPr>
        <w:spacing w:before="100" w:beforeAutospacing="1" w:after="100" w:afterAutospacing="1" w:line="240" w:lineRule="auto"/>
        <w:jc w:val="both"/>
        <w:outlineLvl w:val="0"/>
        <w:rPr>
          <w:rFonts w:cs="Arial"/>
          <w:b/>
          <w:bCs/>
          <w:color w:val="FF0000"/>
          <w:sz w:val="24"/>
          <w:szCs w:val="24"/>
        </w:rPr>
      </w:pPr>
    </w:p>
    <w:p w14:paraId="2CE03E97" w14:textId="31CDF23C" w:rsidR="004B7CCE" w:rsidRDefault="004B7CCE" w:rsidP="00DB2DBD">
      <w:pPr>
        <w:spacing w:before="100" w:beforeAutospacing="1" w:after="100" w:afterAutospacing="1" w:line="240" w:lineRule="auto"/>
        <w:jc w:val="both"/>
        <w:outlineLvl w:val="0"/>
        <w:rPr>
          <w:rFonts w:cs="Arial"/>
          <w:b/>
          <w:bCs/>
          <w:color w:val="FF0000"/>
          <w:sz w:val="24"/>
          <w:szCs w:val="24"/>
        </w:rPr>
      </w:pPr>
    </w:p>
    <w:p w14:paraId="44D2B74C" w14:textId="62CEADBB" w:rsidR="004B7CCE" w:rsidRDefault="004B7CCE" w:rsidP="00DB2DBD">
      <w:pPr>
        <w:spacing w:before="100" w:beforeAutospacing="1" w:after="100" w:afterAutospacing="1" w:line="240" w:lineRule="auto"/>
        <w:jc w:val="both"/>
        <w:outlineLvl w:val="0"/>
        <w:rPr>
          <w:rFonts w:cs="Arial"/>
          <w:b/>
          <w:bCs/>
          <w:color w:val="FF0000"/>
          <w:sz w:val="24"/>
          <w:szCs w:val="24"/>
        </w:rPr>
      </w:pPr>
    </w:p>
    <w:p w14:paraId="2DEBD7F2" w14:textId="4BC81FCD" w:rsidR="004B7CCE" w:rsidRDefault="004B7CCE" w:rsidP="00DB2DBD">
      <w:pPr>
        <w:spacing w:before="100" w:beforeAutospacing="1" w:after="100" w:afterAutospacing="1" w:line="240" w:lineRule="auto"/>
        <w:jc w:val="both"/>
        <w:outlineLvl w:val="0"/>
        <w:rPr>
          <w:rFonts w:cs="Arial"/>
          <w:b/>
          <w:bCs/>
          <w:color w:val="FF0000"/>
          <w:sz w:val="24"/>
          <w:szCs w:val="24"/>
        </w:rPr>
      </w:pPr>
    </w:p>
    <w:p w14:paraId="5778E0D9" w14:textId="5356DBD1" w:rsidR="004B7CCE" w:rsidRDefault="004B7CCE" w:rsidP="00DB2DBD">
      <w:pPr>
        <w:spacing w:before="100" w:beforeAutospacing="1" w:after="100" w:afterAutospacing="1" w:line="240" w:lineRule="auto"/>
        <w:jc w:val="both"/>
        <w:outlineLvl w:val="0"/>
        <w:rPr>
          <w:rFonts w:cs="Arial"/>
          <w:b/>
          <w:bCs/>
          <w:color w:val="FF0000"/>
          <w:sz w:val="24"/>
          <w:szCs w:val="24"/>
        </w:rPr>
      </w:pPr>
    </w:p>
    <w:p w14:paraId="463BCBD9" w14:textId="7F082563" w:rsidR="004B7CCE" w:rsidRDefault="004B7CCE" w:rsidP="00DB2DBD">
      <w:pPr>
        <w:spacing w:before="100" w:beforeAutospacing="1" w:after="100" w:afterAutospacing="1" w:line="240" w:lineRule="auto"/>
        <w:jc w:val="both"/>
        <w:outlineLvl w:val="0"/>
        <w:rPr>
          <w:rFonts w:cs="Arial"/>
          <w:b/>
          <w:bCs/>
          <w:color w:val="FF0000"/>
          <w:sz w:val="24"/>
          <w:szCs w:val="24"/>
        </w:rPr>
      </w:pPr>
    </w:p>
    <w:p w14:paraId="768F33D5" w14:textId="6EC46FBB" w:rsidR="004B7CCE" w:rsidRDefault="004B7CCE" w:rsidP="00DB2DBD">
      <w:pPr>
        <w:spacing w:before="100" w:beforeAutospacing="1" w:after="100" w:afterAutospacing="1" w:line="240" w:lineRule="auto"/>
        <w:jc w:val="both"/>
        <w:outlineLvl w:val="0"/>
        <w:rPr>
          <w:rFonts w:cs="Arial"/>
          <w:b/>
          <w:bCs/>
          <w:color w:val="FF0000"/>
          <w:sz w:val="24"/>
          <w:szCs w:val="24"/>
        </w:rPr>
      </w:pPr>
    </w:p>
    <w:p w14:paraId="00FF54CB" w14:textId="5E64ACF6" w:rsidR="004B7CCE" w:rsidRDefault="004B7CCE" w:rsidP="00DB2DBD">
      <w:pPr>
        <w:spacing w:before="100" w:beforeAutospacing="1" w:after="100" w:afterAutospacing="1" w:line="240" w:lineRule="auto"/>
        <w:jc w:val="both"/>
        <w:outlineLvl w:val="0"/>
        <w:rPr>
          <w:rFonts w:cs="Arial"/>
          <w:b/>
          <w:bCs/>
          <w:color w:val="FF0000"/>
          <w:sz w:val="24"/>
          <w:szCs w:val="24"/>
        </w:rPr>
      </w:pPr>
    </w:p>
    <w:p w14:paraId="574C4291" w14:textId="23A29AE1" w:rsidR="004B7CCE" w:rsidRDefault="004B7CCE" w:rsidP="00DB2DBD">
      <w:pPr>
        <w:spacing w:before="100" w:beforeAutospacing="1" w:after="100" w:afterAutospacing="1" w:line="240" w:lineRule="auto"/>
        <w:jc w:val="both"/>
        <w:outlineLvl w:val="0"/>
        <w:rPr>
          <w:rFonts w:cs="Arial"/>
          <w:b/>
          <w:bCs/>
          <w:color w:val="FF0000"/>
          <w:sz w:val="24"/>
          <w:szCs w:val="24"/>
        </w:rPr>
      </w:pPr>
    </w:p>
    <w:p w14:paraId="301C7A4A" w14:textId="4F8C2679" w:rsidR="004B7CCE" w:rsidRDefault="004B7CCE" w:rsidP="00DB2DBD">
      <w:pPr>
        <w:spacing w:before="100" w:beforeAutospacing="1" w:after="100" w:afterAutospacing="1" w:line="240" w:lineRule="auto"/>
        <w:jc w:val="both"/>
        <w:outlineLvl w:val="0"/>
        <w:rPr>
          <w:rFonts w:cs="Arial"/>
          <w:b/>
          <w:bCs/>
          <w:color w:val="FF0000"/>
          <w:sz w:val="24"/>
          <w:szCs w:val="24"/>
        </w:rPr>
      </w:pPr>
    </w:p>
    <w:p w14:paraId="4EACD5A2" w14:textId="578C9459" w:rsidR="004B7CCE" w:rsidRDefault="004B7CCE" w:rsidP="00DB2DBD">
      <w:pPr>
        <w:spacing w:before="100" w:beforeAutospacing="1" w:after="100" w:afterAutospacing="1" w:line="240" w:lineRule="auto"/>
        <w:jc w:val="both"/>
        <w:outlineLvl w:val="0"/>
        <w:rPr>
          <w:rFonts w:cs="Arial"/>
          <w:b/>
          <w:bCs/>
          <w:color w:val="FF0000"/>
          <w:sz w:val="24"/>
          <w:szCs w:val="24"/>
        </w:rPr>
      </w:pPr>
    </w:p>
    <w:p w14:paraId="4723F4C5" w14:textId="49720C9F" w:rsidR="004B7CCE" w:rsidRDefault="004B7CCE" w:rsidP="00DB2DBD">
      <w:pPr>
        <w:spacing w:before="100" w:beforeAutospacing="1" w:after="100" w:afterAutospacing="1" w:line="240" w:lineRule="auto"/>
        <w:jc w:val="both"/>
        <w:outlineLvl w:val="0"/>
        <w:rPr>
          <w:rFonts w:cs="Arial"/>
          <w:b/>
          <w:bCs/>
          <w:color w:val="FF0000"/>
          <w:sz w:val="24"/>
          <w:szCs w:val="24"/>
        </w:rPr>
      </w:pPr>
    </w:p>
    <w:p w14:paraId="375B0E8C" w14:textId="3B49E215" w:rsidR="004B7CCE" w:rsidRDefault="004B7CCE" w:rsidP="00DB2DBD">
      <w:pPr>
        <w:spacing w:before="100" w:beforeAutospacing="1" w:after="100" w:afterAutospacing="1" w:line="240" w:lineRule="auto"/>
        <w:jc w:val="both"/>
        <w:outlineLvl w:val="0"/>
        <w:rPr>
          <w:rFonts w:cs="Arial"/>
          <w:b/>
          <w:bCs/>
          <w:color w:val="FF0000"/>
          <w:sz w:val="24"/>
          <w:szCs w:val="24"/>
        </w:rPr>
      </w:pPr>
    </w:p>
    <w:p w14:paraId="1C731593" w14:textId="060F68FF" w:rsidR="004B7CCE" w:rsidRDefault="004B7CCE" w:rsidP="00DB2DBD">
      <w:pPr>
        <w:spacing w:before="100" w:beforeAutospacing="1" w:after="100" w:afterAutospacing="1" w:line="240" w:lineRule="auto"/>
        <w:jc w:val="both"/>
        <w:outlineLvl w:val="0"/>
        <w:rPr>
          <w:rFonts w:cs="Arial"/>
          <w:b/>
          <w:bCs/>
          <w:color w:val="FF0000"/>
          <w:sz w:val="24"/>
          <w:szCs w:val="24"/>
        </w:rPr>
      </w:pPr>
    </w:p>
    <w:p w14:paraId="183BA1C8" w14:textId="42BA3066" w:rsidR="004B7CCE" w:rsidRDefault="004B7CCE" w:rsidP="00DB2DBD">
      <w:pPr>
        <w:spacing w:before="100" w:beforeAutospacing="1" w:after="100" w:afterAutospacing="1" w:line="240" w:lineRule="auto"/>
        <w:jc w:val="both"/>
        <w:outlineLvl w:val="0"/>
        <w:rPr>
          <w:rFonts w:cs="Arial"/>
          <w:b/>
          <w:bCs/>
          <w:color w:val="FF0000"/>
          <w:sz w:val="24"/>
          <w:szCs w:val="24"/>
        </w:rPr>
      </w:pPr>
    </w:p>
    <w:p w14:paraId="7BDFA27A" w14:textId="4D6911F7" w:rsidR="004B7CCE" w:rsidRDefault="004B7CCE" w:rsidP="00DB2DBD">
      <w:pPr>
        <w:spacing w:before="100" w:beforeAutospacing="1" w:after="100" w:afterAutospacing="1" w:line="240" w:lineRule="auto"/>
        <w:jc w:val="both"/>
        <w:outlineLvl w:val="0"/>
        <w:rPr>
          <w:rFonts w:cs="Arial"/>
          <w:b/>
          <w:bCs/>
          <w:color w:val="FF0000"/>
          <w:sz w:val="24"/>
          <w:szCs w:val="24"/>
        </w:rPr>
      </w:pPr>
    </w:p>
    <w:p w14:paraId="1574D424" w14:textId="453F044C" w:rsidR="006520D5" w:rsidRPr="006520D5" w:rsidRDefault="006520D5" w:rsidP="006520D5">
      <w:pPr>
        <w:spacing w:before="100" w:beforeAutospacing="1" w:after="100" w:afterAutospacing="1" w:line="240" w:lineRule="auto"/>
        <w:jc w:val="both"/>
        <w:outlineLvl w:val="0"/>
        <w:rPr>
          <w:rFonts w:cs="Arial"/>
          <w:b/>
          <w:bCs/>
          <w:color w:val="FF0000"/>
          <w:sz w:val="24"/>
          <w:szCs w:val="24"/>
        </w:rPr>
      </w:pPr>
      <w:r w:rsidRPr="006520D5">
        <w:rPr>
          <w:rFonts w:cs="Arial"/>
          <w:b/>
          <w:bCs/>
          <w:noProof/>
          <w:color w:val="FF0000"/>
          <w:sz w:val="24"/>
          <w:szCs w:val="24"/>
          <w:lang w:eastAsia="fr-FR"/>
        </w:rPr>
        <w:lastRenderedPageBreak/>
        <w:drawing>
          <wp:anchor distT="0" distB="0" distL="114300" distR="114300" simplePos="0" relativeHeight="251664384" behindDoc="0" locked="0" layoutInCell="1" allowOverlap="1" wp14:anchorId="4854888A" wp14:editId="6E06F537">
            <wp:simplePos x="0" y="0"/>
            <wp:positionH relativeFrom="column">
              <wp:posOffset>118753</wp:posOffset>
            </wp:positionH>
            <wp:positionV relativeFrom="paragraph">
              <wp:posOffset>301377</wp:posOffset>
            </wp:positionV>
            <wp:extent cx="5370489" cy="3346638"/>
            <wp:effectExtent l="0" t="0" r="1905"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70489" cy="3346638"/>
                    </a:xfrm>
                    <a:prstGeom prst="rect">
                      <a:avLst/>
                    </a:prstGeom>
                  </pic:spPr>
                </pic:pic>
              </a:graphicData>
            </a:graphic>
            <wp14:sizeRelH relativeFrom="page">
              <wp14:pctWidth>0</wp14:pctWidth>
            </wp14:sizeRelH>
            <wp14:sizeRelV relativeFrom="page">
              <wp14:pctHeight>0</wp14:pctHeight>
            </wp14:sizeRelV>
          </wp:anchor>
        </w:drawing>
      </w:r>
      <w:r w:rsidRPr="006520D5">
        <w:rPr>
          <w:rFonts w:cs="Arial"/>
          <w:b/>
          <w:bCs/>
          <w:color w:val="FF0000"/>
          <w:sz w:val="24"/>
          <w:szCs w:val="24"/>
        </w:rPr>
        <w:t>DOCUMENT 1</w:t>
      </w:r>
      <w:r w:rsidR="00123301">
        <w:rPr>
          <w:rFonts w:cs="Arial"/>
          <w:b/>
          <w:bCs/>
          <w:color w:val="FF0000"/>
          <w:sz w:val="24"/>
          <w:szCs w:val="24"/>
        </w:rPr>
        <w:t xml:space="preserve"> – Infographie du marché</w:t>
      </w:r>
    </w:p>
    <w:p w14:paraId="3DFB1D87" w14:textId="77777777" w:rsidR="006520D5" w:rsidRDefault="006520D5" w:rsidP="006520D5"/>
    <w:p w14:paraId="65A8A393" w14:textId="77777777" w:rsidR="006520D5" w:rsidRDefault="006520D5" w:rsidP="006520D5"/>
    <w:p w14:paraId="11982EF3" w14:textId="77777777" w:rsidR="006520D5" w:rsidRDefault="006520D5" w:rsidP="006520D5"/>
    <w:p w14:paraId="164DCD03" w14:textId="77777777" w:rsidR="006520D5" w:rsidRDefault="006520D5" w:rsidP="006520D5"/>
    <w:p w14:paraId="41BEB06D" w14:textId="77777777" w:rsidR="006520D5" w:rsidRDefault="006520D5" w:rsidP="006520D5"/>
    <w:p w14:paraId="4B831240" w14:textId="77777777" w:rsidR="006520D5" w:rsidRDefault="006520D5" w:rsidP="006520D5"/>
    <w:p w14:paraId="7E5FF41E" w14:textId="77777777" w:rsidR="006520D5" w:rsidRDefault="006520D5" w:rsidP="006520D5"/>
    <w:p w14:paraId="42251F0E" w14:textId="77777777" w:rsidR="006520D5" w:rsidRDefault="006520D5" w:rsidP="006520D5"/>
    <w:p w14:paraId="2525352D" w14:textId="77777777" w:rsidR="006520D5" w:rsidRDefault="006520D5" w:rsidP="006520D5"/>
    <w:p w14:paraId="1F75D811" w14:textId="77777777" w:rsidR="006520D5" w:rsidRDefault="006520D5" w:rsidP="006520D5"/>
    <w:p w14:paraId="06EEBA0E" w14:textId="77777777" w:rsidR="006520D5" w:rsidRDefault="006520D5" w:rsidP="006520D5"/>
    <w:p w14:paraId="0F644F34" w14:textId="77777777" w:rsidR="006520D5" w:rsidRDefault="006520D5" w:rsidP="006520D5"/>
    <w:p w14:paraId="163F4680" w14:textId="77777777" w:rsidR="006520D5" w:rsidRDefault="006520D5" w:rsidP="006520D5"/>
    <w:p w14:paraId="540268FE" w14:textId="77777777" w:rsidR="00123301" w:rsidRDefault="006520D5" w:rsidP="00123301">
      <w:pPr>
        <w:spacing w:after="0" w:line="240" w:lineRule="auto"/>
        <w:jc w:val="both"/>
        <w:outlineLvl w:val="0"/>
        <w:rPr>
          <w:rFonts w:cs="Arial"/>
          <w:b/>
          <w:bCs/>
          <w:color w:val="FF0000"/>
          <w:sz w:val="24"/>
          <w:szCs w:val="24"/>
        </w:rPr>
      </w:pPr>
      <w:r w:rsidRPr="006520D5">
        <w:rPr>
          <w:rFonts w:cs="Arial"/>
          <w:b/>
          <w:bCs/>
          <w:color w:val="FF0000"/>
          <w:sz w:val="24"/>
          <w:szCs w:val="24"/>
        </w:rPr>
        <w:t>DOCUMENT 2 - Le SELL (SYNDICAT DES ÉDITEURS DE LOGICIELS LIBRES) a dévoilé les chiffres du marché du jeu vidéo pour 2021 qualifiant cette année d’historique</w:t>
      </w:r>
    </w:p>
    <w:p w14:paraId="19975AD9" w14:textId="1EA250CC" w:rsidR="006520D5" w:rsidRPr="00123301" w:rsidRDefault="006520D5" w:rsidP="00123301">
      <w:pPr>
        <w:spacing w:after="0" w:line="240" w:lineRule="auto"/>
        <w:jc w:val="both"/>
        <w:outlineLvl w:val="0"/>
        <w:rPr>
          <w:rFonts w:cs="Arial"/>
          <w:b/>
          <w:bCs/>
          <w:color w:val="FF0000"/>
          <w:sz w:val="24"/>
          <w:szCs w:val="24"/>
        </w:rPr>
      </w:pPr>
      <w:r w:rsidRPr="00E26DDC">
        <w:rPr>
          <w:rFonts w:cs="Arial"/>
          <w:b/>
          <w:bCs/>
          <w:noProof/>
          <w:color w:val="FF0000"/>
          <w:sz w:val="32"/>
          <w:szCs w:val="32"/>
          <w:lang w:eastAsia="fr-FR"/>
        </w:rPr>
        <w:drawing>
          <wp:anchor distT="0" distB="0" distL="114300" distR="114300" simplePos="0" relativeHeight="251663360" behindDoc="0" locked="0" layoutInCell="1" allowOverlap="1" wp14:anchorId="1BFA2C14" wp14:editId="6779C0B9">
            <wp:simplePos x="0" y="0"/>
            <wp:positionH relativeFrom="column">
              <wp:posOffset>3800825</wp:posOffset>
            </wp:positionH>
            <wp:positionV relativeFrom="paragraph">
              <wp:posOffset>210004</wp:posOffset>
            </wp:positionV>
            <wp:extent cx="2592070" cy="3268345"/>
            <wp:effectExtent l="0" t="0" r="0" b="825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92070" cy="3268345"/>
                    </a:xfrm>
                    <a:prstGeom prst="rect">
                      <a:avLst/>
                    </a:prstGeom>
                  </pic:spPr>
                </pic:pic>
              </a:graphicData>
            </a:graphic>
            <wp14:sizeRelH relativeFrom="page">
              <wp14:pctWidth>0</wp14:pctWidth>
            </wp14:sizeRelH>
            <wp14:sizeRelV relativeFrom="page">
              <wp14:pctHeight>0</wp14:pctHeight>
            </wp14:sizeRelV>
          </wp:anchor>
        </w:drawing>
      </w:r>
      <w:r w:rsidRPr="00E26DDC">
        <w:rPr>
          <w:rFonts w:cs="Arial"/>
          <w:b/>
          <w:bCs/>
          <w:color w:val="FF0000"/>
          <w:sz w:val="32"/>
          <w:szCs w:val="32"/>
        </w:rPr>
        <w:br/>
      </w:r>
      <w:r w:rsidRPr="00AE7350">
        <w:rPr>
          <w:rFonts w:eastAsia="Times New Roman" w:cs="Arial"/>
          <w:lang w:eastAsia="fr-FR"/>
        </w:rPr>
        <w:t>En 2020 et malgré la pandémie le jeu vidéo avait perform</w:t>
      </w:r>
      <w:r>
        <w:rPr>
          <w:rFonts w:eastAsia="Times New Roman" w:cs="Arial"/>
          <w:lang w:eastAsia="fr-FR"/>
        </w:rPr>
        <w:t>é</w:t>
      </w:r>
      <w:r w:rsidRPr="00AE7350">
        <w:rPr>
          <w:rFonts w:eastAsia="Times New Roman" w:cs="Arial"/>
          <w:lang w:eastAsia="fr-FR"/>
        </w:rPr>
        <w:t>. En 2021 la hausse du marché du jeu vidéo se confirme pour atteindre 5,6 milliards d’euros. C’est une hausse de 1,6</w:t>
      </w:r>
      <w:r>
        <w:rPr>
          <w:rFonts w:eastAsia="Times New Roman" w:cs="Arial"/>
          <w:lang w:eastAsia="fr-FR"/>
        </w:rPr>
        <w:t xml:space="preserve"> </w:t>
      </w:r>
      <w:r w:rsidRPr="00AE7350">
        <w:rPr>
          <w:rFonts w:eastAsia="Times New Roman" w:cs="Arial"/>
          <w:lang w:eastAsia="fr-FR"/>
        </w:rPr>
        <w:t>% par rapport à l’année précédente.</w:t>
      </w:r>
      <w:r>
        <w:rPr>
          <w:rFonts w:eastAsia="Times New Roman" w:cs="Arial"/>
          <w:lang w:eastAsia="fr-FR"/>
        </w:rPr>
        <w:t xml:space="preserve"> Si l’on cumule</w:t>
      </w:r>
      <w:r w:rsidRPr="00AE7350">
        <w:rPr>
          <w:rFonts w:eastAsia="Times New Roman" w:cs="Arial"/>
          <w:lang w:eastAsia="fr-FR"/>
        </w:rPr>
        <w:t xml:space="preserve"> les deux années de pandémie, le marché du Vidéo Game évolue de 13,5</w:t>
      </w:r>
      <w:r>
        <w:rPr>
          <w:rFonts w:eastAsia="Times New Roman" w:cs="Arial"/>
          <w:lang w:eastAsia="fr-FR"/>
        </w:rPr>
        <w:t xml:space="preserve"> </w:t>
      </w:r>
      <w:r w:rsidRPr="00AE7350">
        <w:rPr>
          <w:rFonts w:eastAsia="Times New Roman" w:cs="Arial"/>
          <w:lang w:eastAsia="fr-FR"/>
        </w:rPr>
        <w:t>%</w:t>
      </w:r>
      <w:r>
        <w:rPr>
          <w:rFonts w:eastAsia="Times New Roman" w:cs="Arial"/>
          <w:lang w:eastAsia="fr-FR"/>
        </w:rPr>
        <w:t>.</w:t>
      </w:r>
    </w:p>
    <w:p w14:paraId="5E84FB9D" w14:textId="77777777" w:rsidR="006520D5" w:rsidRPr="00AE7350" w:rsidRDefault="006520D5" w:rsidP="00123301">
      <w:pPr>
        <w:spacing w:after="0" w:line="240" w:lineRule="auto"/>
        <w:jc w:val="both"/>
        <w:rPr>
          <w:rFonts w:eastAsia="Times New Roman" w:cs="Arial"/>
          <w:lang w:eastAsia="fr-FR"/>
        </w:rPr>
      </w:pPr>
    </w:p>
    <w:p w14:paraId="2EB5AC80" w14:textId="77777777" w:rsidR="006520D5" w:rsidRDefault="006520D5" w:rsidP="00123301">
      <w:pPr>
        <w:spacing w:after="0" w:line="240" w:lineRule="auto"/>
        <w:jc w:val="both"/>
        <w:outlineLvl w:val="1"/>
        <w:rPr>
          <w:rFonts w:eastAsia="Times New Roman" w:cs="Arial"/>
          <w:b/>
          <w:bCs/>
          <w:lang w:eastAsia="fr-FR"/>
        </w:rPr>
      </w:pPr>
      <w:r w:rsidRPr="00AE7350">
        <w:rPr>
          <w:rFonts w:eastAsia="Times New Roman" w:cs="Arial"/>
          <w:b/>
          <w:bCs/>
          <w:lang w:eastAsia="fr-FR"/>
        </w:rPr>
        <w:t>Jeu vidéo, une année historique la preuve avec les chiffres</w:t>
      </w:r>
    </w:p>
    <w:p w14:paraId="0AA764A6" w14:textId="77777777" w:rsidR="006520D5" w:rsidRPr="00AE7350" w:rsidRDefault="006520D5" w:rsidP="00123301">
      <w:pPr>
        <w:spacing w:after="0" w:line="240" w:lineRule="auto"/>
        <w:jc w:val="both"/>
        <w:outlineLvl w:val="1"/>
        <w:rPr>
          <w:rFonts w:eastAsia="Times New Roman" w:cs="Arial"/>
          <w:b/>
          <w:bCs/>
          <w:lang w:eastAsia="fr-FR"/>
        </w:rPr>
      </w:pPr>
    </w:p>
    <w:p w14:paraId="52CCE5FB" w14:textId="77777777" w:rsidR="006520D5" w:rsidRDefault="006520D5" w:rsidP="00123301">
      <w:pPr>
        <w:spacing w:after="0" w:line="240" w:lineRule="auto"/>
        <w:jc w:val="both"/>
        <w:rPr>
          <w:rFonts w:eastAsia="Times New Roman" w:cs="Arial"/>
          <w:lang w:eastAsia="fr-FR"/>
        </w:rPr>
      </w:pPr>
      <w:r w:rsidRPr="00AE7350">
        <w:rPr>
          <w:rFonts w:eastAsia="Times New Roman" w:cs="Arial"/>
          <w:lang w:eastAsia="fr-FR"/>
        </w:rPr>
        <w:t>L’écosystème console (Hardware, Software et Accessoires), représente 49</w:t>
      </w:r>
      <w:r>
        <w:rPr>
          <w:rFonts w:eastAsia="Times New Roman" w:cs="Arial"/>
          <w:lang w:eastAsia="fr-FR"/>
        </w:rPr>
        <w:t xml:space="preserve"> </w:t>
      </w:r>
      <w:r w:rsidRPr="00AE7350">
        <w:rPr>
          <w:rFonts w:eastAsia="Times New Roman" w:cs="Arial"/>
          <w:lang w:eastAsia="fr-FR"/>
        </w:rPr>
        <w:t>% de la valeur totale du marché du jeu vidéo. Il génère 2,749 milliards d’euros (+</w:t>
      </w:r>
      <w:r>
        <w:rPr>
          <w:rFonts w:eastAsia="Times New Roman" w:cs="Arial"/>
          <w:lang w:eastAsia="fr-FR"/>
        </w:rPr>
        <w:t xml:space="preserve"> </w:t>
      </w:r>
      <w:r w:rsidRPr="00AE7350">
        <w:rPr>
          <w:rFonts w:eastAsia="Times New Roman" w:cs="Arial"/>
          <w:lang w:eastAsia="fr-FR"/>
        </w:rPr>
        <w:t>1</w:t>
      </w:r>
      <w:r>
        <w:rPr>
          <w:rFonts w:eastAsia="Times New Roman" w:cs="Arial"/>
          <w:lang w:eastAsia="fr-FR"/>
        </w:rPr>
        <w:t xml:space="preserve"> </w:t>
      </w:r>
      <w:r w:rsidRPr="00AE7350">
        <w:rPr>
          <w:rFonts w:eastAsia="Times New Roman" w:cs="Arial"/>
          <w:lang w:eastAsia="fr-FR"/>
        </w:rPr>
        <w:t>%) et réalise sa deuxième performance historique ; le précédent record s’était établi à 3,03 milliards d’euros en 2008.</w:t>
      </w:r>
      <w:r w:rsidRPr="00AE7350">
        <w:rPr>
          <w:rFonts w:eastAsia="Times New Roman" w:cs="Arial"/>
          <w:lang w:eastAsia="fr-FR"/>
        </w:rPr>
        <w:br/>
      </w:r>
      <w:r w:rsidRPr="00AE7350">
        <w:rPr>
          <w:rFonts w:eastAsia="Times New Roman" w:cs="Arial"/>
          <w:lang w:eastAsia="fr-FR"/>
        </w:rPr>
        <w:br/>
        <w:t>L’environnement PC Gaming (Hardware, Software et Accessoires), qui représente 26</w:t>
      </w:r>
      <w:r>
        <w:rPr>
          <w:rFonts w:eastAsia="Times New Roman" w:cs="Arial"/>
          <w:lang w:eastAsia="fr-FR"/>
        </w:rPr>
        <w:t xml:space="preserve"> </w:t>
      </w:r>
      <w:r w:rsidRPr="00AE7350">
        <w:rPr>
          <w:rFonts w:eastAsia="Times New Roman" w:cs="Arial"/>
          <w:lang w:eastAsia="fr-FR"/>
        </w:rPr>
        <w:t>% de la valeur totale du marché du jeu vidéo atteint un nouveau record avec 1,492 milliard d’euros et une croissance de +</w:t>
      </w:r>
      <w:r>
        <w:rPr>
          <w:rFonts w:eastAsia="Times New Roman" w:cs="Arial"/>
          <w:lang w:eastAsia="fr-FR"/>
        </w:rPr>
        <w:t xml:space="preserve"> </w:t>
      </w:r>
      <w:r w:rsidRPr="00AE7350">
        <w:rPr>
          <w:rFonts w:eastAsia="Times New Roman" w:cs="Arial"/>
          <w:lang w:eastAsia="fr-FR"/>
        </w:rPr>
        <w:t>5</w:t>
      </w:r>
      <w:r>
        <w:rPr>
          <w:rFonts w:eastAsia="Times New Roman" w:cs="Arial"/>
          <w:lang w:eastAsia="fr-FR"/>
        </w:rPr>
        <w:t xml:space="preserve"> </w:t>
      </w:r>
      <w:r w:rsidRPr="00AE7350">
        <w:rPr>
          <w:rFonts w:eastAsia="Times New Roman" w:cs="Arial"/>
          <w:lang w:eastAsia="fr-FR"/>
        </w:rPr>
        <w:t>% en un an.</w:t>
      </w:r>
    </w:p>
    <w:p w14:paraId="199FB86F" w14:textId="77777777" w:rsidR="006520D5" w:rsidRDefault="006520D5" w:rsidP="00123301">
      <w:pPr>
        <w:spacing w:after="0" w:line="240" w:lineRule="auto"/>
        <w:jc w:val="both"/>
        <w:rPr>
          <w:rFonts w:eastAsia="Times New Roman" w:cs="Arial"/>
          <w:lang w:eastAsia="fr-FR"/>
        </w:rPr>
      </w:pPr>
    </w:p>
    <w:p w14:paraId="1F734388" w14:textId="77777777" w:rsidR="006520D5" w:rsidRDefault="006520D5" w:rsidP="00123301">
      <w:pPr>
        <w:spacing w:after="0" w:line="240" w:lineRule="auto"/>
        <w:jc w:val="both"/>
        <w:rPr>
          <w:rFonts w:eastAsia="Times New Roman" w:cs="Arial"/>
          <w:lang w:eastAsia="fr-FR"/>
        </w:rPr>
      </w:pPr>
      <w:r w:rsidRPr="00AE7350">
        <w:rPr>
          <w:rFonts w:eastAsia="Times New Roman" w:cs="Arial"/>
          <w:lang w:eastAsia="fr-FR"/>
        </w:rPr>
        <w:t>Le jeu sur mobile, qui représente 25</w:t>
      </w:r>
      <w:r>
        <w:rPr>
          <w:rFonts w:eastAsia="Times New Roman" w:cs="Arial"/>
          <w:lang w:eastAsia="fr-FR"/>
        </w:rPr>
        <w:t xml:space="preserve"> </w:t>
      </w:r>
      <w:r w:rsidRPr="00AE7350">
        <w:rPr>
          <w:rFonts w:eastAsia="Times New Roman" w:cs="Arial"/>
          <w:lang w:eastAsia="fr-FR"/>
        </w:rPr>
        <w:t xml:space="preserve">% de la valeur totale du marché du jeu vidéo réalise sa seconde performance historique avec 1,411 milliard d’euros générés sur l’année 2021, en légère décroissance de </w:t>
      </w:r>
      <w:r>
        <w:rPr>
          <w:rFonts w:eastAsia="Times New Roman" w:cs="Arial"/>
          <w:lang w:eastAsia="fr-FR"/>
        </w:rPr>
        <w:t xml:space="preserve">– </w:t>
      </w:r>
      <w:r w:rsidRPr="00AE7350">
        <w:rPr>
          <w:rFonts w:eastAsia="Times New Roman" w:cs="Arial"/>
          <w:lang w:eastAsia="fr-FR"/>
        </w:rPr>
        <w:t>1</w:t>
      </w:r>
      <w:r>
        <w:rPr>
          <w:rFonts w:eastAsia="Times New Roman" w:cs="Arial"/>
          <w:lang w:eastAsia="fr-FR"/>
        </w:rPr>
        <w:t xml:space="preserve"> </w:t>
      </w:r>
      <w:r w:rsidRPr="00AE7350">
        <w:rPr>
          <w:rFonts w:eastAsia="Times New Roman" w:cs="Arial"/>
          <w:lang w:eastAsia="fr-FR"/>
        </w:rPr>
        <w:t>%.</w:t>
      </w:r>
    </w:p>
    <w:p w14:paraId="23F27DA4" w14:textId="77777777" w:rsidR="006520D5" w:rsidRDefault="006520D5" w:rsidP="00123301">
      <w:pPr>
        <w:spacing w:after="0" w:line="240" w:lineRule="auto"/>
        <w:jc w:val="both"/>
        <w:rPr>
          <w:rFonts w:eastAsia="Times New Roman" w:cs="Arial"/>
          <w:lang w:eastAsia="fr-FR"/>
        </w:rPr>
      </w:pPr>
    </w:p>
    <w:p w14:paraId="28CAD020" w14:textId="0769380E" w:rsidR="006520D5" w:rsidRPr="00AE7350" w:rsidRDefault="006520D5" w:rsidP="00123301">
      <w:pPr>
        <w:spacing w:after="0" w:line="240" w:lineRule="auto"/>
        <w:jc w:val="both"/>
        <w:rPr>
          <w:rFonts w:eastAsia="Times New Roman" w:cs="Arial"/>
          <w:lang w:eastAsia="fr-FR"/>
        </w:rPr>
      </w:pPr>
      <w:r w:rsidRPr="00895681">
        <w:rPr>
          <w:rFonts w:eastAsia="Times New Roman" w:cs="Arial"/>
          <w:lang w:eastAsia="fr-FR"/>
        </w:rPr>
        <w:t xml:space="preserve">Ce dynamisme </w:t>
      </w:r>
      <w:r>
        <w:rPr>
          <w:rFonts w:eastAsia="Times New Roman" w:cs="Arial"/>
          <w:lang w:eastAsia="fr-FR"/>
        </w:rPr>
        <w:t xml:space="preserve">du marché </w:t>
      </w:r>
      <w:r w:rsidRPr="00895681">
        <w:rPr>
          <w:rFonts w:eastAsia="Times New Roman" w:cs="Arial"/>
          <w:lang w:eastAsia="fr-FR"/>
        </w:rPr>
        <w:t xml:space="preserve">s'explique notamment par la complémentarité des offres Hardware </w:t>
      </w:r>
      <w:r>
        <w:rPr>
          <w:rFonts w:eastAsia="Times New Roman" w:cs="Arial"/>
          <w:lang w:eastAsia="fr-FR"/>
        </w:rPr>
        <w:t xml:space="preserve">(jeux vidéo en boîtiers) </w:t>
      </w:r>
      <w:r w:rsidRPr="00895681">
        <w:rPr>
          <w:rFonts w:eastAsia="Times New Roman" w:cs="Arial"/>
          <w:lang w:eastAsia="fr-FR"/>
        </w:rPr>
        <w:t>et Software</w:t>
      </w:r>
      <w:r>
        <w:rPr>
          <w:rFonts w:eastAsia="Times New Roman" w:cs="Arial"/>
          <w:lang w:eastAsia="fr-FR"/>
        </w:rPr>
        <w:t xml:space="preserve"> (jeux vidéo achetés en ligne)</w:t>
      </w:r>
      <w:r w:rsidRPr="00895681">
        <w:rPr>
          <w:rFonts w:eastAsia="Times New Roman" w:cs="Arial"/>
          <w:lang w:eastAsia="fr-FR"/>
        </w:rPr>
        <w:t xml:space="preserve">, et la spécificité d'un secteur où se mêlent innovation technologique et création artistique. Ces liens créent un cercle vertueux </w:t>
      </w:r>
      <w:r>
        <w:rPr>
          <w:rFonts w:eastAsia="Times New Roman" w:cs="Arial"/>
          <w:lang w:eastAsia="fr-FR"/>
        </w:rPr>
        <w:t xml:space="preserve">(positif) </w:t>
      </w:r>
      <w:r w:rsidRPr="00895681">
        <w:rPr>
          <w:rFonts w:eastAsia="Times New Roman" w:cs="Arial"/>
          <w:lang w:eastAsia="fr-FR"/>
        </w:rPr>
        <w:t>dont bénéficie tout le marché.</w:t>
      </w:r>
      <w:r>
        <w:rPr>
          <w:rFonts w:eastAsia="Times New Roman" w:cs="Arial"/>
          <w:lang w:eastAsia="fr-FR"/>
        </w:rPr>
        <w:t xml:space="preserve"> Source : </w:t>
      </w:r>
      <w:hyperlink r:id="rId10" w:history="1">
        <w:r w:rsidRPr="00FC3552">
          <w:rPr>
            <w:rStyle w:val="Lienhypertexte"/>
            <w:rFonts w:eastAsia="Times New Roman" w:cs="Arial"/>
            <w:lang w:eastAsia="fr-FR"/>
          </w:rPr>
          <w:t>https://www.idboox.com</w:t>
        </w:r>
      </w:hyperlink>
      <w:r>
        <w:rPr>
          <w:rFonts w:eastAsia="Times New Roman" w:cs="Arial"/>
          <w:lang w:eastAsia="fr-FR"/>
        </w:rPr>
        <w:t xml:space="preserve"> </w:t>
      </w:r>
    </w:p>
    <w:p w14:paraId="7F1E2711" w14:textId="25D2E86C" w:rsidR="006520D5" w:rsidRPr="006520D5" w:rsidRDefault="006520D5" w:rsidP="00123301">
      <w:pPr>
        <w:spacing w:after="0" w:line="240" w:lineRule="auto"/>
        <w:jc w:val="both"/>
        <w:outlineLvl w:val="0"/>
        <w:rPr>
          <w:rFonts w:cs="Arial"/>
          <w:b/>
          <w:bCs/>
          <w:color w:val="FF0000"/>
          <w:sz w:val="24"/>
          <w:szCs w:val="24"/>
        </w:rPr>
      </w:pPr>
      <w:r w:rsidRPr="006520D5">
        <w:rPr>
          <w:rFonts w:cs="Arial"/>
          <w:b/>
          <w:bCs/>
          <w:color w:val="FF0000"/>
          <w:sz w:val="24"/>
          <w:szCs w:val="24"/>
        </w:rPr>
        <w:lastRenderedPageBreak/>
        <w:t>DOCUMENT 3 – INFOGRAPHIE PROFIL DU JOUEUR</w:t>
      </w:r>
      <w:r w:rsidR="00073256">
        <w:rPr>
          <w:rFonts w:cs="Arial"/>
          <w:b/>
          <w:bCs/>
          <w:color w:val="FF0000"/>
          <w:sz w:val="24"/>
          <w:szCs w:val="24"/>
        </w:rPr>
        <w:t xml:space="preserve"> Source : </w:t>
      </w:r>
      <w:hyperlink r:id="rId11" w:history="1">
        <w:r w:rsidR="00073256" w:rsidRPr="00FC3552">
          <w:rPr>
            <w:rStyle w:val="Lienhypertexte"/>
            <w:rFonts w:eastAsia="Times New Roman" w:cs="Arial"/>
            <w:lang w:eastAsia="fr-FR"/>
          </w:rPr>
          <w:t>https://www.idboox.com</w:t>
        </w:r>
      </w:hyperlink>
      <w:r w:rsidR="00073256">
        <w:rPr>
          <w:rStyle w:val="Lienhypertexte"/>
          <w:rFonts w:eastAsia="Times New Roman" w:cs="Arial"/>
          <w:lang w:eastAsia="fr-FR"/>
        </w:rPr>
        <w:t xml:space="preserve"> </w:t>
      </w:r>
    </w:p>
    <w:p w14:paraId="42CDB2A8" w14:textId="77777777" w:rsidR="006520D5" w:rsidRDefault="006520D5" w:rsidP="006520D5">
      <w:r>
        <w:rPr>
          <w:noProof/>
          <w:lang w:eastAsia="fr-FR"/>
        </w:rPr>
        <w:drawing>
          <wp:anchor distT="0" distB="0" distL="114300" distR="114300" simplePos="0" relativeHeight="251662336" behindDoc="0" locked="0" layoutInCell="1" allowOverlap="1" wp14:anchorId="44E361A8" wp14:editId="62264BD0">
            <wp:simplePos x="0" y="0"/>
            <wp:positionH relativeFrom="column">
              <wp:posOffset>3051367</wp:posOffset>
            </wp:positionH>
            <wp:positionV relativeFrom="paragraph">
              <wp:posOffset>124985</wp:posOffset>
            </wp:positionV>
            <wp:extent cx="3323645" cy="2106930"/>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32705" cy="2112673"/>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723745F9" wp14:editId="4D845260">
            <wp:simplePos x="0" y="0"/>
            <wp:positionH relativeFrom="column">
              <wp:posOffset>1198549</wp:posOffset>
            </wp:positionH>
            <wp:positionV relativeFrom="paragraph">
              <wp:posOffset>124460</wp:posOffset>
            </wp:positionV>
            <wp:extent cx="1852654" cy="2107002"/>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2654" cy="2107002"/>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6858FC86" wp14:editId="38DC7DBE">
            <wp:simplePos x="0" y="0"/>
            <wp:positionH relativeFrom="column">
              <wp:posOffset>-812800</wp:posOffset>
            </wp:positionH>
            <wp:positionV relativeFrom="paragraph">
              <wp:posOffset>124875</wp:posOffset>
            </wp:positionV>
            <wp:extent cx="2015750" cy="2104882"/>
            <wp:effectExtent l="0" t="0" r="381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5750" cy="2104882"/>
                    </a:xfrm>
                    <a:prstGeom prst="rect">
                      <a:avLst/>
                    </a:prstGeom>
                  </pic:spPr>
                </pic:pic>
              </a:graphicData>
            </a:graphic>
            <wp14:sizeRelH relativeFrom="page">
              <wp14:pctWidth>0</wp14:pctWidth>
            </wp14:sizeRelH>
            <wp14:sizeRelV relativeFrom="page">
              <wp14:pctHeight>0</wp14:pctHeight>
            </wp14:sizeRelV>
          </wp:anchor>
        </w:drawing>
      </w:r>
    </w:p>
    <w:p w14:paraId="684BBE0E" w14:textId="4E1F7339" w:rsidR="006520D5" w:rsidRDefault="006520D5" w:rsidP="006520D5"/>
    <w:p w14:paraId="3CC715EC" w14:textId="04BCFDAD" w:rsidR="006520D5" w:rsidRDefault="006520D5" w:rsidP="006520D5"/>
    <w:p w14:paraId="3CA0DBB9" w14:textId="47D58CB8" w:rsidR="006520D5" w:rsidRDefault="006520D5" w:rsidP="006520D5"/>
    <w:p w14:paraId="021A0BA6" w14:textId="2EAC7582" w:rsidR="006520D5" w:rsidRDefault="006520D5" w:rsidP="006520D5"/>
    <w:p w14:paraId="3C3D7EB3" w14:textId="6F58317D" w:rsidR="006520D5" w:rsidRDefault="006520D5" w:rsidP="006520D5">
      <w:pPr>
        <w:rPr>
          <w:b/>
        </w:rPr>
      </w:pPr>
    </w:p>
    <w:p w14:paraId="1E3276FE" w14:textId="389C92A4" w:rsidR="006520D5" w:rsidRDefault="006520D5" w:rsidP="006520D5">
      <w:pPr>
        <w:rPr>
          <w:b/>
        </w:rPr>
      </w:pPr>
    </w:p>
    <w:p w14:paraId="110BB037" w14:textId="1AFFFEA6" w:rsidR="006520D5" w:rsidRDefault="006520D5" w:rsidP="006520D5"/>
    <w:p w14:paraId="0873DB77" w14:textId="64F34678" w:rsidR="006520D5" w:rsidRDefault="006520D5" w:rsidP="006520D5">
      <w:pPr>
        <w:tabs>
          <w:tab w:val="left" w:pos="2947"/>
        </w:tabs>
      </w:pPr>
      <w:r>
        <w:tab/>
      </w:r>
    </w:p>
    <w:p w14:paraId="5FB72185" w14:textId="56CD3415" w:rsidR="006520D5" w:rsidRDefault="006520D5" w:rsidP="006520D5">
      <w:r>
        <w:rPr>
          <w:noProof/>
          <w:lang w:eastAsia="fr-FR"/>
        </w:rPr>
        <w:drawing>
          <wp:anchor distT="0" distB="0" distL="114300" distR="114300" simplePos="0" relativeHeight="251661312" behindDoc="0" locked="0" layoutInCell="1" allowOverlap="1" wp14:anchorId="7DD0AC6C" wp14:editId="0675F799">
            <wp:simplePos x="0" y="0"/>
            <wp:positionH relativeFrom="column">
              <wp:posOffset>840685</wp:posOffset>
            </wp:positionH>
            <wp:positionV relativeFrom="paragraph">
              <wp:posOffset>11761</wp:posOffset>
            </wp:positionV>
            <wp:extent cx="4015265" cy="1904420"/>
            <wp:effectExtent l="0" t="0" r="4445"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015265" cy="1904420"/>
                    </a:xfrm>
                    <a:prstGeom prst="rect">
                      <a:avLst/>
                    </a:prstGeom>
                  </pic:spPr>
                </pic:pic>
              </a:graphicData>
            </a:graphic>
            <wp14:sizeRelH relativeFrom="page">
              <wp14:pctWidth>0</wp14:pctWidth>
            </wp14:sizeRelH>
            <wp14:sizeRelV relativeFrom="page">
              <wp14:pctHeight>0</wp14:pctHeight>
            </wp14:sizeRelV>
          </wp:anchor>
        </w:drawing>
      </w:r>
    </w:p>
    <w:p w14:paraId="0F8DDB7D" w14:textId="43F0D137" w:rsidR="006520D5" w:rsidRDefault="006520D5" w:rsidP="006520D5"/>
    <w:p w14:paraId="5029FAAA" w14:textId="6C8BB9AC" w:rsidR="006520D5" w:rsidRDefault="006520D5" w:rsidP="006520D5"/>
    <w:p w14:paraId="758224B2" w14:textId="7597FBD4" w:rsidR="006520D5" w:rsidRDefault="006520D5" w:rsidP="006520D5"/>
    <w:p w14:paraId="1CC6B1CF" w14:textId="4F330C4C" w:rsidR="006520D5" w:rsidRDefault="006520D5" w:rsidP="006520D5"/>
    <w:p w14:paraId="0DA01078" w14:textId="111B5379" w:rsidR="006520D5" w:rsidRDefault="006520D5" w:rsidP="006520D5"/>
    <w:p w14:paraId="50A47CE5" w14:textId="4A7D6581" w:rsidR="006520D5" w:rsidRDefault="006520D5" w:rsidP="006520D5"/>
    <w:p w14:paraId="51584AF6" w14:textId="5AEB9EBB" w:rsidR="006520D5" w:rsidRDefault="006520D5" w:rsidP="006520D5"/>
    <w:p w14:paraId="43409D2D" w14:textId="2A0E0331" w:rsidR="006520D5" w:rsidRPr="00123301" w:rsidRDefault="004B7CCE" w:rsidP="006520D5">
      <w:pPr>
        <w:rPr>
          <w:b/>
          <w:bCs/>
          <w:color w:val="FF0000"/>
        </w:rPr>
      </w:pPr>
      <w:r>
        <w:rPr>
          <w:noProof/>
          <w14:ligatures w14:val="standardContextual"/>
        </w:rPr>
        <w:drawing>
          <wp:anchor distT="0" distB="0" distL="114300" distR="114300" simplePos="0" relativeHeight="251669504" behindDoc="0" locked="0" layoutInCell="1" allowOverlap="1" wp14:anchorId="6B32829B" wp14:editId="3FA99507">
            <wp:simplePos x="0" y="0"/>
            <wp:positionH relativeFrom="column">
              <wp:posOffset>1012190</wp:posOffset>
            </wp:positionH>
            <wp:positionV relativeFrom="paragraph">
              <wp:posOffset>181610</wp:posOffset>
            </wp:positionV>
            <wp:extent cx="3521381" cy="4314825"/>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21381" cy="4314825"/>
                    </a:xfrm>
                    <a:prstGeom prst="rect">
                      <a:avLst/>
                    </a:prstGeom>
                  </pic:spPr>
                </pic:pic>
              </a:graphicData>
            </a:graphic>
            <wp14:sizeRelH relativeFrom="page">
              <wp14:pctWidth>0</wp14:pctWidth>
            </wp14:sizeRelH>
            <wp14:sizeRelV relativeFrom="page">
              <wp14:pctHeight>0</wp14:pctHeight>
            </wp14:sizeRelV>
          </wp:anchor>
        </w:drawing>
      </w:r>
      <w:r w:rsidR="00123301" w:rsidRPr="00123301">
        <w:rPr>
          <w:b/>
          <w:bCs/>
          <w:color w:val="FF0000"/>
        </w:rPr>
        <w:t xml:space="preserve">DOCUMENT 4 – </w:t>
      </w:r>
      <w:r w:rsidR="00053387">
        <w:rPr>
          <w:b/>
          <w:bCs/>
          <w:color w:val="FF0000"/>
        </w:rPr>
        <w:t>Consommation des jeux vidéo chez les enfants</w:t>
      </w:r>
      <w:r w:rsidR="00073256">
        <w:rPr>
          <w:b/>
          <w:bCs/>
          <w:color w:val="FF0000"/>
        </w:rPr>
        <w:t xml:space="preserve"> (source ORANGE.fr) </w:t>
      </w:r>
    </w:p>
    <w:p w14:paraId="20DAB113" w14:textId="24CBB349" w:rsidR="006520D5" w:rsidRDefault="006520D5" w:rsidP="006520D5"/>
    <w:p w14:paraId="00C7E4B2" w14:textId="2BD41A6F" w:rsidR="006520D5" w:rsidRDefault="006520D5" w:rsidP="006520D5"/>
    <w:p w14:paraId="0F9D3C63" w14:textId="77777777" w:rsidR="006520D5" w:rsidRDefault="006520D5" w:rsidP="006520D5"/>
    <w:p w14:paraId="1E224C87" w14:textId="77777777" w:rsidR="006520D5" w:rsidRDefault="006520D5" w:rsidP="006520D5"/>
    <w:p w14:paraId="24DE9C9E" w14:textId="77777777" w:rsidR="006520D5" w:rsidRDefault="006520D5" w:rsidP="006520D5"/>
    <w:p w14:paraId="0B2B12C2" w14:textId="77777777" w:rsidR="006520D5" w:rsidRDefault="006520D5" w:rsidP="006520D5"/>
    <w:p w14:paraId="0E7B64E6" w14:textId="163BADE9" w:rsidR="006520D5" w:rsidRDefault="006520D5" w:rsidP="006520D5"/>
    <w:p w14:paraId="0A8B92EC" w14:textId="279021F5" w:rsidR="006520D5" w:rsidRDefault="006520D5" w:rsidP="006520D5"/>
    <w:p w14:paraId="5F736CA6" w14:textId="6A1C026E" w:rsidR="006520D5" w:rsidRDefault="006520D5" w:rsidP="006520D5"/>
    <w:p w14:paraId="4F9625E7" w14:textId="5BC909A3" w:rsidR="006520D5" w:rsidRDefault="006520D5" w:rsidP="006520D5"/>
    <w:p w14:paraId="4A83ABE6" w14:textId="38666FCC" w:rsidR="00123301" w:rsidRDefault="00123301" w:rsidP="006520D5"/>
    <w:p w14:paraId="4CDBA566" w14:textId="21650E0D" w:rsidR="00123301" w:rsidRDefault="00123301" w:rsidP="006520D5"/>
    <w:p w14:paraId="3CD8D3F4" w14:textId="77777777" w:rsidR="00123301" w:rsidRDefault="00123301" w:rsidP="006520D5"/>
    <w:p w14:paraId="7A685393" w14:textId="366D7435" w:rsidR="006520D5" w:rsidRDefault="006520D5" w:rsidP="006520D5"/>
    <w:p w14:paraId="200FD7B8" w14:textId="41353285" w:rsidR="00123301" w:rsidRDefault="00123301" w:rsidP="006520D5"/>
    <w:p w14:paraId="01BD5FC7" w14:textId="68A4B41F" w:rsidR="006520D5" w:rsidRPr="006520D5" w:rsidRDefault="006520D5" w:rsidP="006520D5">
      <w:pPr>
        <w:jc w:val="both"/>
        <w:rPr>
          <w:rFonts w:cs="Arial"/>
          <w:b/>
          <w:bCs/>
          <w:color w:val="FF0000"/>
        </w:rPr>
      </w:pPr>
      <w:r w:rsidRPr="006520D5">
        <w:rPr>
          <w:rFonts w:cs="Arial"/>
          <w:b/>
          <w:bCs/>
          <w:color w:val="FF0000"/>
        </w:rPr>
        <w:lastRenderedPageBreak/>
        <w:t xml:space="preserve">DOCUMENT </w:t>
      </w:r>
      <w:r w:rsidR="00DB2DBD">
        <w:rPr>
          <w:rFonts w:cs="Arial"/>
          <w:b/>
          <w:bCs/>
          <w:color w:val="FF0000"/>
        </w:rPr>
        <w:t>5</w:t>
      </w:r>
      <w:r>
        <w:rPr>
          <w:rFonts w:cs="Arial"/>
          <w:b/>
          <w:bCs/>
          <w:color w:val="FF0000"/>
        </w:rPr>
        <w:t xml:space="preserve"> – Jeux vidéo, bannir ou sensibiliser ?</w:t>
      </w:r>
    </w:p>
    <w:p w14:paraId="3A1F4C77" w14:textId="23F63E0D" w:rsidR="006520D5" w:rsidRPr="00123301" w:rsidRDefault="006520D5" w:rsidP="006520D5">
      <w:pPr>
        <w:jc w:val="both"/>
      </w:pPr>
      <w:r w:rsidRPr="00123301">
        <w:t>Les écrans (ex. : ordinateurs, tablettes, téléphones intelligents) offrent des jeux spécialement conçus pour les enfants. On trouve aussi des consoles de jeux vidéo (Wii, Xbox, PlayStation, Game Boy, DS) qui, très tôt, captivent l’enfant. Ces divers jeux sont-ils à bannir ou faut-il au contraire sensibiliser les enfants à ce monde virtuel ?</w:t>
      </w:r>
    </w:p>
    <w:p w14:paraId="1E7A6455" w14:textId="7779F587" w:rsidR="006520D5" w:rsidRPr="00123301" w:rsidRDefault="006520D5" w:rsidP="006520D5">
      <w:pPr>
        <w:jc w:val="both"/>
      </w:pPr>
      <w:r w:rsidRPr="00123301">
        <w:t>En jouant à l’ordinateur, l’enfant apprend à utiliser une souris, à déplacer le curseur sur l’écran, et découvre les rudiments de l’ordinateur. Selon le logiciel, l’enfant peut apprendre la notion de cause à effet : en appuyant sur une touche ou en cliquant sur la souris, il produit une action à l’</w:t>
      </w:r>
      <w:hyperlink r:id="rId17" w:history="1">
        <w:r w:rsidRPr="00123301">
          <w:t>écran</w:t>
        </w:r>
      </w:hyperlink>
      <w:r w:rsidRPr="00123301">
        <w:t xml:space="preserve">. Certains jeux lui permettent de découvrir des notions de base comme les </w:t>
      </w:r>
      <w:hyperlink r:id="rId18" w:history="1">
        <w:r w:rsidRPr="00123301">
          <w:t>couleurs</w:t>
        </w:r>
      </w:hyperlink>
      <w:r w:rsidRPr="00123301">
        <w:t xml:space="preserve">, les grandeurs, les formes. Il lui faut alors être attentif et bien observer. Ce type de jeu est interactif, puisque l’ordinateur réagit à l’action de l’enfant. </w:t>
      </w:r>
    </w:p>
    <w:p w14:paraId="2303C4C8" w14:textId="3D31E49B" w:rsidR="006520D5" w:rsidRPr="00123301" w:rsidRDefault="006520D5" w:rsidP="006520D5">
      <w:pPr>
        <w:jc w:val="both"/>
      </w:pPr>
      <w:r w:rsidRPr="00123301">
        <w:t xml:space="preserve">Les jeux vidéo se jouent avec une manette que l’enfant doit apprendre à contrôler. Cette manette nécessite une activité bilatérale, utilisant des actions différentes des deux mains qui mettent à profit la coordination. Sa manipulation est donc plus complexe que le déplacement de la souris. La majorité des jeux vidéo stimulent l’attention, la motivation, la concentration, la mémoire, la résolution de problèmes, la reconnaissance visuelle des personnages et des objets, la rapidité, un début de logique et une bonne coordination </w:t>
      </w:r>
      <w:r w:rsidR="00123301" w:rsidRPr="00123301">
        <w:t>œil</w:t>
      </w:r>
      <w:r w:rsidRPr="00123301">
        <w:t xml:space="preserve">-main. La </w:t>
      </w:r>
      <w:hyperlink r:id="rId19" w:history="1">
        <w:r w:rsidRPr="00123301">
          <w:t>patience</w:t>
        </w:r>
      </w:hyperlink>
      <w:r w:rsidRPr="00123301">
        <w:t xml:space="preserve"> de l’enfant est aussi mise à l’épreuve, puisque l’échec y est fréquent et que l’enfant doit souvent recommencer le même niveau. </w:t>
      </w:r>
    </w:p>
    <w:p w14:paraId="62112F68" w14:textId="466254BE" w:rsidR="006520D5" w:rsidRPr="00123301" w:rsidRDefault="006520D5" w:rsidP="006520D5">
      <w:pPr>
        <w:jc w:val="both"/>
      </w:pPr>
      <w:r w:rsidRPr="00123301">
        <w:t xml:space="preserve">Selon certains experts, la tablette constituerait un outil d’apprentissage intéressant grâce à son interactivité, si son utilisation est supervisée par les parents. La tablette peut les initier aux nombres et à la </w:t>
      </w:r>
      <w:hyperlink r:id="rId20" w:history="1">
        <w:r w:rsidRPr="00123301">
          <w:t>lecture</w:t>
        </w:r>
      </w:hyperlink>
      <w:r w:rsidRPr="00123301">
        <w:t xml:space="preserve"> tout en éveillant et en exerçant leur capacité d’attention visuelle. Elle permettrait de diversifier les sources de stimulation.</w:t>
      </w:r>
    </w:p>
    <w:p w14:paraId="58244DE9" w14:textId="1234BC6C" w:rsidR="00123301" w:rsidRPr="00123301" w:rsidRDefault="006520D5" w:rsidP="006520D5">
      <w:pPr>
        <w:jc w:val="both"/>
      </w:pPr>
      <w:r w:rsidRPr="00123301">
        <w:t>Malgré ces avantages, aucune norme universelle ne garantit la qualité de ces jeux. Il est utile de les essayer ou de demander de l’information avant de les acheter. En quoi consiste le jeu</w:t>
      </w:r>
      <w:r w:rsidR="00123301">
        <w:t xml:space="preserve"> </w:t>
      </w:r>
      <w:r w:rsidRPr="00123301">
        <w:t>? Qu’est-il demandé à l’enfant</w:t>
      </w:r>
      <w:r w:rsidR="00123301">
        <w:t xml:space="preserve"> </w:t>
      </w:r>
      <w:r w:rsidRPr="00123301">
        <w:t>? Y a-t-il divers niveaux de difficulté adaptés à l’âge de l’enfant</w:t>
      </w:r>
      <w:r w:rsidR="00123301">
        <w:t xml:space="preserve"> </w:t>
      </w:r>
      <w:r w:rsidRPr="00123301">
        <w:t>? Combien de temps dure une partie</w:t>
      </w:r>
      <w:r w:rsidR="00123301">
        <w:t xml:space="preserve"> </w:t>
      </w:r>
      <w:r w:rsidRPr="00123301">
        <w:t xml:space="preserve">? </w:t>
      </w:r>
    </w:p>
    <w:p w14:paraId="3315F3E7" w14:textId="522E5FF6" w:rsidR="006520D5" w:rsidRPr="00123301" w:rsidRDefault="006520D5" w:rsidP="006520D5">
      <w:pPr>
        <w:jc w:val="both"/>
      </w:pPr>
      <w:r w:rsidRPr="00123301">
        <w:t xml:space="preserve">Les consoles de jeux vidéo, les jeux d’ordinateur ou les tablettes ne peuvent pas remplacer les jouets traditionnels. Un sondage réalisé dans 10 pays révèle que les enfants de 2 à 5 ans présentent davantage d’habiletés virtuelles que d’habiletés motrices. Par exemple, 66 % savent jouer à des jeux simples à l’ordinateur alors qu’ils sont seulement 58 % à savoir pédaler sur une </w:t>
      </w:r>
      <w:hyperlink r:id="rId21" w:anchor="_Toc507160458" w:history="1">
        <w:r w:rsidRPr="00123301">
          <w:t>bicyclette</w:t>
        </w:r>
      </w:hyperlink>
      <w:r w:rsidRPr="00123301">
        <w:t xml:space="preserve">. </w:t>
      </w:r>
    </w:p>
    <w:p w14:paraId="2578615B" w14:textId="51B06903" w:rsidR="006520D5" w:rsidRPr="00123301" w:rsidRDefault="006520D5" w:rsidP="006520D5">
      <w:pPr>
        <w:jc w:val="both"/>
      </w:pPr>
      <w:r w:rsidRPr="00123301">
        <w:t xml:space="preserve">L’exposition excessive aux </w:t>
      </w:r>
      <w:hyperlink r:id="rId22" w:history="1">
        <w:r w:rsidRPr="00123301">
          <w:t>écrans</w:t>
        </w:r>
      </w:hyperlink>
      <w:r w:rsidRPr="00123301">
        <w:t xml:space="preserve"> contribue à la sédentarité des enfants. Les jeux d’écran se pratiquent au détriment des activités sportives et du jeu libre à l’extérieur. Les jeunes qui passent plus de deux heures par jour devant un écran jouent 30 minutes de moins à l’extérieur que les autres enfants. Cela contribue à augmenter le risque de surpoids et d’</w:t>
      </w:r>
      <w:hyperlink r:id="rId23" w:history="1">
        <w:r w:rsidRPr="00123301">
          <w:t>obésité</w:t>
        </w:r>
      </w:hyperlink>
      <w:r w:rsidRPr="00123301">
        <w:t>. Par ailleurs, les enfants qui ont un téléviseur dans leur chambre affichent un gain de poids supérieur à celui des autres enfants. Selon certains experts, même les jeux vidéo dits actifs ne peuvent pas être utilisés pour aider les enfants à faire plus d’activité physique. Ils pourraient toutefois transformer un comportement sédentaire en une activité physique d’intensité légère à modérée</w:t>
      </w:r>
      <w:r w:rsidR="00123301">
        <w:t>.</w:t>
      </w:r>
      <w:r w:rsidR="00123301" w:rsidRPr="00123301">
        <w:t xml:space="preserve"> </w:t>
      </w:r>
    </w:p>
    <w:p w14:paraId="106E9950" w14:textId="287E309D" w:rsidR="00F93A9A" w:rsidRDefault="006520D5" w:rsidP="006520D5">
      <w:pPr>
        <w:jc w:val="both"/>
      </w:pPr>
      <w:r w:rsidRPr="00123301">
        <w:t>Un jeune enfant n’a pas la maturité pour jouer à un jeu vidéo. Il n’a pas les habiletés nécessaires pour véritablement comprendre les règles d’un jeu vidéo et y jouer efficacement. Par ailleurs, les valeurs que véhiculent ces jeux sont, en général, la vitesse, la compétition, parfois la compassion, la générosité, mais aussi, très souvent, la violence. Or, les images violentes, présentes dans ces jeux, peuvent créer des angoisses aux plus petits, car ils ne sont pas encore capables de prendre suffisamment de recul par rapport à la fiction.</w:t>
      </w:r>
      <w:r w:rsidR="00123301">
        <w:t xml:space="preserve"> </w:t>
      </w:r>
      <w:hyperlink r:id="rId24" w:history="1">
        <w:r w:rsidR="00123301" w:rsidRPr="00E66886">
          <w:rPr>
            <w:rStyle w:val="Lienhypertexte"/>
          </w:rPr>
          <w:t>https://naitreetgrandir.com/</w:t>
        </w:r>
      </w:hyperlink>
      <w:r w:rsidR="00123301">
        <w:t xml:space="preserve"> </w:t>
      </w:r>
    </w:p>
    <w:p w14:paraId="0C1BCD95" w14:textId="7B82ABAA" w:rsidR="00123301" w:rsidRDefault="00123301" w:rsidP="006520D5">
      <w:pPr>
        <w:jc w:val="both"/>
      </w:pPr>
    </w:p>
    <w:p w14:paraId="1AE09A4D" w14:textId="12FC8E8C" w:rsidR="00123301" w:rsidRPr="00123301" w:rsidRDefault="00123301" w:rsidP="00123301">
      <w:pPr>
        <w:jc w:val="both"/>
        <w:rPr>
          <w:rFonts w:cs="Arial"/>
          <w:b/>
          <w:bCs/>
          <w:color w:val="FF0000"/>
        </w:rPr>
      </w:pPr>
      <w:r w:rsidRPr="00123301">
        <w:rPr>
          <w:rFonts w:cs="Arial"/>
          <w:b/>
          <w:bCs/>
          <w:color w:val="FF0000"/>
        </w:rPr>
        <w:lastRenderedPageBreak/>
        <w:t>DOCUMENT</w:t>
      </w:r>
      <w:r w:rsidR="00DB2DBD">
        <w:rPr>
          <w:rFonts w:cs="Arial"/>
          <w:b/>
          <w:bCs/>
          <w:color w:val="FF0000"/>
        </w:rPr>
        <w:t>S</w:t>
      </w:r>
      <w:r w:rsidRPr="00123301">
        <w:rPr>
          <w:rFonts w:cs="Arial"/>
          <w:b/>
          <w:bCs/>
          <w:color w:val="FF0000"/>
        </w:rPr>
        <w:t xml:space="preserve"> </w:t>
      </w:r>
      <w:r w:rsidR="00DB2DBD">
        <w:rPr>
          <w:rFonts w:cs="Arial"/>
          <w:b/>
          <w:bCs/>
          <w:color w:val="FF0000"/>
        </w:rPr>
        <w:t>6</w:t>
      </w:r>
      <w:r>
        <w:rPr>
          <w:rFonts w:cs="Arial"/>
          <w:b/>
          <w:bCs/>
          <w:color w:val="FF0000"/>
        </w:rPr>
        <w:t xml:space="preserve"> </w:t>
      </w:r>
      <w:r w:rsidR="00DB2DBD">
        <w:rPr>
          <w:rFonts w:cs="Arial"/>
          <w:b/>
          <w:bCs/>
          <w:color w:val="FF0000"/>
        </w:rPr>
        <w:t xml:space="preserve">ET 7 </w:t>
      </w:r>
      <w:r>
        <w:rPr>
          <w:rFonts w:cs="Arial"/>
          <w:b/>
          <w:bCs/>
          <w:color w:val="FF0000"/>
        </w:rPr>
        <w:t>– Sélection d’images</w:t>
      </w:r>
      <w:r w:rsidR="00073256">
        <w:rPr>
          <w:rFonts w:cs="Arial"/>
          <w:b/>
          <w:bCs/>
          <w:color w:val="FF0000"/>
        </w:rPr>
        <w:t xml:space="preserve"> issues d’internet </w:t>
      </w:r>
    </w:p>
    <w:p w14:paraId="66BB8C76" w14:textId="1EDB08A4" w:rsidR="00123301" w:rsidRDefault="00123301" w:rsidP="00123301">
      <w:pPr>
        <w:jc w:val="both"/>
        <w:rPr>
          <w:rFonts w:cs="Arial"/>
        </w:rPr>
      </w:pPr>
      <w:r>
        <w:rPr>
          <w:noProof/>
        </w:rPr>
        <w:drawing>
          <wp:anchor distT="0" distB="0" distL="114300" distR="114300" simplePos="0" relativeHeight="251666432" behindDoc="0" locked="0" layoutInCell="1" allowOverlap="1" wp14:anchorId="17AD672B" wp14:editId="6A1B7A31">
            <wp:simplePos x="0" y="0"/>
            <wp:positionH relativeFrom="column">
              <wp:posOffset>-681355</wp:posOffset>
            </wp:positionH>
            <wp:positionV relativeFrom="paragraph">
              <wp:posOffset>184150</wp:posOffset>
            </wp:positionV>
            <wp:extent cx="3429623" cy="2447290"/>
            <wp:effectExtent l="0" t="0" r="0" b="0"/>
            <wp:wrapNone/>
            <wp:docPr id="10" name="Image 10" descr="L'addiction aux jeux vidéos, une pratique de santé&amp;nbsp;? - Journal des  Lyc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diction aux jeux vidéos, une pratique de santé&amp;nbsp;? - Journal des  Lycé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623" cy="2447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886E0" w14:textId="53E743A9" w:rsidR="00123301" w:rsidRPr="009E3D23" w:rsidRDefault="00123301" w:rsidP="00123301">
      <w:pPr>
        <w:jc w:val="both"/>
        <w:rPr>
          <w:rFonts w:cs="Arial"/>
        </w:rPr>
      </w:pPr>
      <w:r>
        <w:rPr>
          <w:noProof/>
        </w:rPr>
        <w:drawing>
          <wp:anchor distT="0" distB="0" distL="114300" distR="114300" simplePos="0" relativeHeight="251667456" behindDoc="0" locked="0" layoutInCell="1" allowOverlap="1" wp14:anchorId="419C33C0" wp14:editId="5D6F13AF">
            <wp:simplePos x="0" y="0"/>
            <wp:positionH relativeFrom="column">
              <wp:posOffset>2801620</wp:posOffset>
            </wp:positionH>
            <wp:positionV relativeFrom="paragraph">
              <wp:posOffset>166370</wp:posOffset>
            </wp:positionV>
            <wp:extent cx="3574363" cy="2007870"/>
            <wp:effectExtent l="0" t="0" r="7620" b="0"/>
            <wp:wrapNone/>
            <wp:docPr id="11" name="Image 11" descr="L'OMS reconnaît l'addiction aux jeux-vidéos comme une maladie mentale ! -  Neo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MS reconnaît l'addiction aux jeux-vidéos comme une maladie mentale ! -  NeozO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74363" cy="200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B0A75" w14:textId="06307BA0" w:rsidR="00123301" w:rsidRPr="009E3D23" w:rsidRDefault="00123301" w:rsidP="00123301">
      <w:pPr>
        <w:jc w:val="both"/>
        <w:rPr>
          <w:rFonts w:cs="Arial"/>
        </w:rPr>
      </w:pPr>
    </w:p>
    <w:p w14:paraId="0C3CDE22" w14:textId="6A3886D0" w:rsidR="00123301" w:rsidRDefault="00123301" w:rsidP="00123301">
      <w:pPr>
        <w:jc w:val="both"/>
        <w:rPr>
          <w:rFonts w:cs="Arial"/>
        </w:rPr>
      </w:pPr>
    </w:p>
    <w:p w14:paraId="1622779A" w14:textId="2C694E6F" w:rsidR="00123301" w:rsidRDefault="00123301" w:rsidP="00123301">
      <w:pPr>
        <w:jc w:val="both"/>
        <w:rPr>
          <w:rFonts w:cs="Arial"/>
        </w:rPr>
      </w:pPr>
    </w:p>
    <w:p w14:paraId="4352F9BB" w14:textId="77777777" w:rsidR="00123301" w:rsidRDefault="00123301" w:rsidP="00123301">
      <w:pPr>
        <w:jc w:val="both"/>
        <w:rPr>
          <w:rFonts w:cs="Arial"/>
        </w:rPr>
      </w:pPr>
    </w:p>
    <w:p w14:paraId="614349E8" w14:textId="44DED84D" w:rsidR="00123301" w:rsidRDefault="00123301" w:rsidP="00123301">
      <w:pPr>
        <w:jc w:val="both"/>
        <w:rPr>
          <w:rFonts w:cs="Arial"/>
        </w:rPr>
      </w:pPr>
    </w:p>
    <w:p w14:paraId="6D77345A" w14:textId="77777777" w:rsidR="00123301" w:rsidRDefault="00123301" w:rsidP="00123301">
      <w:pPr>
        <w:jc w:val="both"/>
        <w:rPr>
          <w:rFonts w:cs="Arial"/>
        </w:rPr>
      </w:pPr>
    </w:p>
    <w:p w14:paraId="11205031" w14:textId="77777777" w:rsidR="00123301" w:rsidRDefault="00123301" w:rsidP="00123301">
      <w:pPr>
        <w:jc w:val="both"/>
        <w:rPr>
          <w:rFonts w:cs="Arial"/>
        </w:rPr>
      </w:pPr>
    </w:p>
    <w:p w14:paraId="1FB12612" w14:textId="77777777" w:rsidR="00123301" w:rsidRDefault="00123301" w:rsidP="00123301">
      <w:pPr>
        <w:jc w:val="both"/>
        <w:rPr>
          <w:rFonts w:cs="Arial"/>
        </w:rPr>
      </w:pPr>
    </w:p>
    <w:p w14:paraId="6A0E31D7" w14:textId="79B66862" w:rsidR="00123301" w:rsidRDefault="00123301" w:rsidP="00123301">
      <w:pPr>
        <w:jc w:val="both"/>
        <w:rPr>
          <w:rFonts w:cs="Arial"/>
        </w:rPr>
      </w:pPr>
    </w:p>
    <w:p w14:paraId="3D9AF2E0" w14:textId="53483C2F" w:rsidR="00123301" w:rsidRPr="00053387" w:rsidRDefault="00053387" w:rsidP="00123301">
      <w:pPr>
        <w:jc w:val="both"/>
        <w:rPr>
          <w:rFonts w:cs="Arial"/>
          <w:b/>
          <w:bCs/>
          <w:color w:val="FF0000"/>
        </w:rPr>
      </w:pPr>
      <w:r w:rsidRPr="00053387">
        <w:rPr>
          <w:rFonts w:cs="Arial"/>
          <w:b/>
          <w:bCs/>
          <w:color w:val="FF0000"/>
        </w:rPr>
        <w:t>Vidéos complémentaires</w:t>
      </w:r>
      <w:r>
        <w:rPr>
          <w:rFonts w:cs="Arial"/>
          <w:b/>
          <w:bCs/>
          <w:color w:val="FF0000"/>
        </w:rPr>
        <w:t>, témoignage d’un ex-joueur de jeu/</w:t>
      </w:r>
      <w:r w:rsidR="001A3FDF">
        <w:rPr>
          <w:rFonts w:cs="Arial"/>
          <w:b/>
          <w:bCs/>
          <w:color w:val="FF0000"/>
        </w:rPr>
        <w:t>l’addiction au jeux vidéo, une maladie ?</w:t>
      </w:r>
      <w:r w:rsidRPr="00053387">
        <w:rPr>
          <w:rFonts w:cs="Arial"/>
          <w:b/>
          <w:bCs/>
          <w:color w:val="FF0000"/>
        </w:rPr>
        <w:t> :</w:t>
      </w:r>
    </w:p>
    <w:p w14:paraId="46EFCA62" w14:textId="3F759138" w:rsidR="00053387" w:rsidRDefault="00000000" w:rsidP="00123301">
      <w:pPr>
        <w:jc w:val="both"/>
        <w:rPr>
          <w:rFonts w:cs="Arial"/>
        </w:rPr>
      </w:pPr>
      <w:hyperlink r:id="rId27" w:history="1">
        <w:r w:rsidR="00053387" w:rsidRPr="00E66886">
          <w:rPr>
            <w:rStyle w:val="Lienhypertexte"/>
            <w:rFonts w:cs="Arial"/>
          </w:rPr>
          <w:t>https://www.youtube.com/watch?v=79WEppm33eo</w:t>
        </w:r>
      </w:hyperlink>
      <w:r w:rsidR="00053387">
        <w:rPr>
          <w:rFonts w:cs="Arial"/>
        </w:rPr>
        <w:t xml:space="preserve"> </w:t>
      </w:r>
    </w:p>
    <w:p w14:paraId="1C50F4B3" w14:textId="26F6A843" w:rsidR="00053387" w:rsidRDefault="00000000" w:rsidP="00123301">
      <w:pPr>
        <w:jc w:val="both"/>
        <w:rPr>
          <w:rFonts w:cs="Arial"/>
        </w:rPr>
      </w:pPr>
      <w:hyperlink r:id="rId28" w:history="1">
        <w:r w:rsidR="00053387" w:rsidRPr="00E66886">
          <w:rPr>
            <w:rStyle w:val="Lienhypertexte"/>
            <w:rFonts w:cs="Arial"/>
          </w:rPr>
          <w:t>https://www.youtube.com/watch?v=dvO5XddyRq0</w:t>
        </w:r>
      </w:hyperlink>
      <w:r w:rsidR="00053387">
        <w:rPr>
          <w:rFonts w:cs="Arial"/>
        </w:rPr>
        <w:t xml:space="preserve"> </w:t>
      </w:r>
    </w:p>
    <w:p w14:paraId="7136743F" w14:textId="51167877" w:rsidR="00DB2DBD" w:rsidRDefault="00DB2DBD" w:rsidP="00123301">
      <w:pPr>
        <w:jc w:val="both"/>
        <w:rPr>
          <w:rFonts w:cs="Arial"/>
        </w:rPr>
      </w:pPr>
    </w:p>
    <w:p w14:paraId="66185681" w14:textId="4EBB7492" w:rsidR="00DB2DBD" w:rsidRDefault="00DB2DBD" w:rsidP="00123301">
      <w:pPr>
        <w:jc w:val="both"/>
        <w:rPr>
          <w:rFonts w:cs="Arial"/>
        </w:rPr>
      </w:pPr>
    </w:p>
    <w:p w14:paraId="0873D97D" w14:textId="5F6B38B8" w:rsidR="00DB2DBD" w:rsidRDefault="00DB2DBD" w:rsidP="00123301">
      <w:pPr>
        <w:jc w:val="both"/>
        <w:rPr>
          <w:rFonts w:cs="Arial"/>
        </w:rPr>
      </w:pPr>
    </w:p>
    <w:p w14:paraId="2F6BE068" w14:textId="588CCF65" w:rsidR="00DB2DBD" w:rsidRDefault="00DB2DBD" w:rsidP="00123301">
      <w:pPr>
        <w:jc w:val="both"/>
        <w:rPr>
          <w:rFonts w:cs="Arial"/>
        </w:rPr>
      </w:pPr>
    </w:p>
    <w:p w14:paraId="0979B60C" w14:textId="77777777" w:rsidR="00DB2DBD" w:rsidRDefault="00DB2DBD" w:rsidP="00123301">
      <w:pPr>
        <w:jc w:val="both"/>
        <w:rPr>
          <w:rFonts w:cs="Arial"/>
        </w:rPr>
        <w:sectPr w:rsidR="00DB2DBD" w:rsidSect="006520D5">
          <w:footerReference w:type="default" r:id="rId29"/>
          <w:pgSz w:w="11906" w:h="16838"/>
          <w:pgMar w:top="567" w:right="1418" w:bottom="1418" w:left="1418" w:header="709" w:footer="709" w:gutter="0"/>
          <w:cols w:space="708"/>
          <w:docGrid w:linePitch="360"/>
        </w:sectPr>
      </w:pPr>
    </w:p>
    <w:tbl>
      <w:tblPr>
        <w:tblStyle w:val="Grilledutableau"/>
        <w:tblW w:w="15876" w:type="dxa"/>
        <w:tblInd w:w="-1139" w:type="dxa"/>
        <w:tblLook w:val="04A0" w:firstRow="1" w:lastRow="0" w:firstColumn="1" w:lastColumn="0" w:noHBand="0" w:noVBand="1"/>
      </w:tblPr>
      <w:tblGrid>
        <w:gridCol w:w="2977"/>
        <w:gridCol w:w="6095"/>
        <w:gridCol w:w="6804"/>
      </w:tblGrid>
      <w:tr w:rsidR="00DB2DBD" w:rsidRPr="00C542F0" w14:paraId="60E58F8E" w14:textId="77777777" w:rsidTr="00DB2DBD">
        <w:tc>
          <w:tcPr>
            <w:tcW w:w="2977" w:type="dxa"/>
          </w:tcPr>
          <w:p w14:paraId="13FA4299" w14:textId="77777777" w:rsidR="00DB2DBD" w:rsidRPr="00C542F0" w:rsidRDefault="00DB2DBD" w:rsidP="005B64EC">
            <w:pPr>
              <w:spacing w:before="100" w:beforeAutospacing="1" w:after="100" w:afterAutospacing="1"/>
              <w:jc w:val="center"/>
              <w:outlineLvl w:val="1"/>
              <w:rPr>
                <w:rFonts w:eastAsia="Times New Roman" w:cs="Arial"/>
                <w:b/>
                <w:bCs/>
                <w:color w:val="FF0000"/>
                <w:sz w:val="24"/>
                <w:szCs w:val="24"/>
                <w:lang w:eastAsia="fr-FR"/>
              </w:rPr>
            </w:pPr>
            <w:r w:rsidRPr="00C542F0">
              <w:rPr>
                <w:rFonts w:eastAsia="Times New Roman" w:cs="Arial"/>
                <w:b/>
                <w:bCs/>
                <w:color w:val="FF0000"/>
                <w:sz w:val="24"/>
                <w:szCs w:val="24"/>
                <w:lang w:eastAsia="fr-FR"/>
              </w:rPr>
              <w:lastRenderedPageBreak/>
              <w:t>ANNEXE 1</w:t>
            </w:r>
          </w:p>
        </w:tc>
        <w:tc>
          <w:tcPr>
            <w:tcW w:w="6095" w:type="dxa"/>
            <w:shd w:val="clear" w:color="auto" w:fill="D9D9D9" w:themeFill="background1" w:themeFillShade="D9"/>
          </w:tcPr>
          <w:p w14:paraId="02D99238" w14:textId="48B3C54B" w:rsidR="00DB2DBD" w:rsidRPr="00C542F0" w:rsidRDefault="00DB2DBD" w:rsidP="00DB2DBD">
            <w:pPr>
              <w:spacing w:before="100" w:beforeAutospacing="1" w:after="100" w:afterAutospacing="1"/>
              <w:jc w:val="center"/>
              <w:outlineLvl w:val="1"/>
              <w:rPr>
                <w:rFonts w:eastAsia="Times New Roman" w:cs="Arial"/>
                <w:b/>
                <w:bCs/>
                <w:color w:val="006666"/>
                <w:sz w:val="24"/>
                <w:szCs w:val="24"/>
                <w:lang w:eastAsia="fr-FR"/>
              </w:rPr>
            </w:pPr>
            <w:r w:rsidRPr="00C542F0">
              <w:rPr>
                <w:rFonts w:eastAsia="Times New Roman" w:cs="Arial"/>
                <w:b/>
                <w:bCs/>
                <w:color w:val="006666"/>
                <w:sz w:val="24"/>
                <w:szCs w:val="24"/>
                <w:lang w:eastAsia="fr-FR"/>
              </w:rPr>
              <w:t>DOCUMENT 6</w:t>
            </w:r>
          </w:p>
        </w:tc>
        <w:tc>
          <w:tcPr>
            <w:tcW w:w="6804" w:type="dxa"/>
            <w:shd w:val="clear" w:color="auto" w:fill="D9D9D9" w:themeFill="background1" w:themeFillShade="D9"/>
          </w:tcPr>
          <w:p w14:paraId="6FCB2F61" w14:textId="4C923F87" w:rsidR="00DB2DBD" w:rsidRPr="00C542F0" w:rsidRDefault="00DB2DBD" w:rsidP="00DB2DBD">
            <w:pPr>
              <w:spacing w:before="100" w:beforeAutospacing="1" w:after="100" w:afterAutospacing="1"/>
              <w:jc w:val="center"/>
              <w:outlineLvl w:val="1"/>
              <w:rPr>
                <w:rFonts w:eastAsia="Times New Roman" w:cs="Arial"/>
                <w:b/>
                <w:bCs/>
                <w:color w:val="006666"/>
                <w:sz w:val="24"/>
                <w:szCs w:val="24"/>
                <w:lang w:eastAsia="fr-FR"/>
              </w:rPr>
            </w:pPr>
            <w:r w:rsidRPr="00C542F0">
              <w:rPr>
                <w:rFonts w:eastAsia="Times New Roman" w:cs="Arial"/>
                <w:b/>
                <w:bCs/>
                <w:color w:val="006666"/>
                <w:sz w:val="24"/>
                <w:szCs w:val="24"/>
                <w:lang w:eastAsia="fr-FR"/>
              </w:rPr>
              <w:t>DOCUMENT 7</w:t>
            </w:r>
          </w:p>
        </w:tc>
      </w:tr>
      <w:tr w:rsidR="00DB2DBD" w:rsidRPr="00C542F0" w14:paraId="4062E38C" w14:textId="77777777" w:rsidTr="00C542F0">
        <w:tc>
          <w:tcPr>
            <w:tcW w:w="2977" w:type="dxa"/>
            <w:vAlign w:val="center"/>
          </w:tcPr>
          <w:p w14:paraId="61C119F8" w14:textId="77777777" w:rsidR="00DB2DBD" w:rsidRPr="00C542F0" w:rsidRDefault="00DB2DBD" w:rsidP="005B64EC">
            <w:pPr>
              <w:spacing w:before="100" w:beforeAutospacing="1" w:after="100" w:afterAutospacing="1"/>
              <w:outlineLvl w:val="1"/>
              <w:rPr>
                <w:rFonts w:eastAsia="Times New Roman" w:cs="Arial"/>
                <w:b/>
                <w:bCs/>
                <w:sz w:val="24"/>
                <w:szCs w:val="24"/>
                <w:lang w:eastAsia="fr-FR"/>
              </w:rPr>
            </w:pPr>
          </w:p>
          <w:p w14:paraId="480E21B3"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r w:rsidRPr="00C542F0">
              <w:rPr>
                <w:rFonts w:eastAsia="Times New Roman" w:cs="Arial"/>
                <w:b/>
                <w:bCs/>
                <w:sz w:val="24"/>
                <w:szCs w:val="24"/>
                <w:lang w:eastAsia="fr-FR"/>
              </w:rPr>
              <w:t>Quel est le thème abordé dans l’image ?</w:t>
            </w:r>
          </w:p>
          <w:p w14:paraId="612FAB5D" w14:textId="77777777" w:rsidR="00DB2DBD" w:rsidRPr="00C542F0" w:rsidRDefault="00DB2DBD" w:rsidP="005B64EC">
            <w:pPr>
              <w:spacing w:before="100" w:beforeAutospacing="1" w:after="100" w:afterAutospacing="1"/>
              <w:outlineLvl w:val="1"/>
              <w:rPr>
                <w:rFonts w:eastAsia="Times New Roman" w:cs="Arial"/>
                <w:b/>
                <w:bCs/>
                <w:sz w:val="24"/>
                <w:szCs w:val="24"/>
                <w:lang w:eastAsia="fr-FR"/>
              </w:rPr>
            </w:pPr>
          </w:p>
        </w:tc>
        <w:tc>
          <w:tcPr>
            <w:tcW w:w="6095" w:type="dxa"/>
            <w:shd w:val="clear" w:color="auto" w:fill="FFFFFF" w:themeFill="background1"/>
          </w:tcPr>
          <w:p w14:paraId="7CCDF8BB" w14:textId="77777777" w:rsidR="00DB2DBD" w:rsidRPr="00C542F0" w:rsidRDefault="00DB2DBD" w:rsidP="00DB2DBD">
            <w:pPr>
              <w:spacing w:before="100" w:beforeAutospacing="1" w:after="100" w:afterAutospacing="1"/>
              <w:jc w:val="both"/>
              <w:outlineLvl w:val="1"/>
              <w:rPr>
                <w:rFonts w:eastAsia="Times New Roman" w:cs="Arial"/>
                <w:b/>
                <w:bCs/>
                <w:color w:val="006666"/>
                <w:sz w:val="24"/>
                <w:szCs w:val="24"/>
                <w:lang w:eastAsia="fr-FR"/>
              </w:rPr>
            </w:pPr>
          </w:p>
          <w:p w14:paraId="24C14111" w14:textId="77777777" w:rsidR="00DB2DBD" w:rsidRPr="00C542F0" w:rsidRDefault="00DB2DBD" w:rsidP="00DB2DBD">
            <w:pPr>
              <w:spacing w:before="100" w:beforeAutospacing="1" w:after="100" w:afterAutospacing="1"/>
              <w:jc w:val="both"/>
              <w:outlineLvl w:val="1"/>
              <w:rPr>
                <w:rFonts w:eastAsia="Times New Roman" w:cs="Arial"/>
                <w:b/>
                <w:bCs/>
                <w:color w:val="006666"/>
                <w:sz w:val="24"/>
                <w:szCs w:val="24"/>
                <w:lang w:eastAsia="fr-FR"/>
              </w:rPr>
            </w:pPr>
          </w:p>
        </w:tc>
        <w:tc>
          <w:tcPr>
            <w:tcW w:w="6804" w:type="dxa"/>
            <w:shd w:val="clear" w:color="auto" w:fill="FFFFFF" w:themeFill="background1"/>
          </w:tcPr>
          <w:p w14:paraId="24EA0231" w14:textId="77777777" w:rsidR="00DB2DBD" w:rsidRPr="00C542F0" w:rsidRDefault="00DB2DBD" w:rsidP="00DB2DBD">
            <w:pPr>
              <w:spacing w:before="100" w:beforeAutospacing="1" w:after="100" w:afterAutospacing="1"/>
              <w:jc w:val="both"/>
              <w:outlineLvl w:val="1"/>
              <w:rPr>
                <w:rFonts w:eastAsia="Times New Roman" w:cs="Arial"/>
                <w:b/>
                <w:bCs/>
                <w:color w:val="006666"/>
                <w:sz w:val="24"/>
                <w:szCs w:val="24"/>
                <w:lang w:eastAsia="fr-FR"/>
              </w:rPr>
            </w:pPr>
          </w:p>
        </w:tc>
      </w:tr>
      <w:tr w:rsidR="00DB2DBD" w:rsidRPr="00C542F0" w14:paraId="79187FC9" w14:textId="77777777" w:rsidTr="00C542F0">
        <w:tc>
          <w:tcPr>
            <w:tcW w:w="2977" w:type="dxa"/>
            <w:vAlign w:val="center"/>
          </w:tcPr>
          <w:p w14:paraId="2CC05238"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p>
          <w:p w14:paraId="691EF872"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p>
          <w:p w14:paraId="642E1FE7"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r w:rsidRPr="00C542F0">
              <w:rPr>
                <w:rFonts w:eastAsia="Times New Roman" w:cs="Arial"/>
                <w:b/>
                <w:bCs/>
                <w:sz w:val="24"/>
                <w:szCs w:val="24"/>
                <w:lang w:eastAsia="fr-FR"/>
              </w:rPr>
              <w:t>Commentez la construction de celle-ci (premier plan, arrière-plan, second plan).</w:t>
            </w:r>
          </w:p>
          <w:p w14:paraId="588ACFBC"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p>
          <w:p w14:paraId="605051EF"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p>
        </w:tc>
        <w:tc>
          <w:tcPr>
            <w:tcW w:w="6095" w:type="dxa"/>
          </w:tcPr>
          <w:p w14:paraId="04643A95"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p w14:paraId="14282A2B"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p w14:paraId="63E66466"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p w14:paraId="18A6806A"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tc>
        <w:tc>
          <w:tcPr>
            <w:tcW w:w="6804" w:type="dxa"/>
          </w:tcPr>
          <w:p w14:paraId="46991070"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tc>
      </w:tr>
      <w:tr w:rsidR="00DB2DBD" w:rsidRPr="00C542F0" w14:paraId="37653F98" w14:textId="77777777" w:rsidTr="00C542F0">
        <w:tc>
          <w:tcPr>
            <w:tcW w:w="2977" w:type="dxa"/>
            <w:vAlign w:val="center"/>
          </w:tcPr>
          <w:p w14:paraId="492375AA" w14:textId="77777777" w:rsidR="00DB2DBD" w:rsidRPr="00C542F0" w:rsidRDefault="00DB2DBD" w:rsidP="005B64EC">
            <w:pPr>
              <w:jc w:val="center"/>
              <w:outlineLvl w:val="1"/>
              <w:rPr>
                <w:rFonts w:eastAsia="Times New Roman" w:cs="Arial"/>
                <w:b/>
                <w:bCs/>
                <w:sz w:val="24"/>
                <w:szCs w:val="24"/>
                <w:lang w:eastAsia="fr-FR"/>
              </w:rPr>
            </w:pPr>
            <w:r w:rsidRPr="00C542F0">
              <w:rPr>
                <w:rFonts w:eastAsia="Times New Roman" w:cs="Arial"/>
                <w:b/>
                <w:bCs/>
                <w:sz w:val="24"/>
                <w:szCs w:val="24"/>
                <w:lang w:eastAsia="fr-FR"/>
              </w:rPr>
              <w:t>Quelle est la cible visée  (public) ?</w:t>
            </w:r>
          </w:p>
        </w:tc>
        <w:tc>
          <w:tcPr>
            <w:tcW w:w="6095" w:type="dxa"/>
          </w:tcPr>
          <w:p w14:paraId="603B6019" w14:textId="77777777" w:rsidR="00DB2DBD" w:rsidRDefault="00DB2DBD" w:rsidP="005B64EC">
            <w:pPr>
              <w:spacing w:before="100" w:beforeAutospacing="1" w:after="100" w:afterAutospacing="1"/>
              <w:jc w:val="both"/>
              <w:outlineLvl w:val="1"/>
              <w:rPr>
                <w:rFonts w:eastAsia="Times New Roman" w:cs="Arial"/>
                <w:b/>
                <w:bCs/>
                <w:sz w:val="24"/>
                <w:szCs w:val="24"/>
                <w:lang w:eastAsia="fr-FR"/>
              </w:rPr>
            </w:pPr>
          </w:p>
          <w:p w14:paraId="70648C6E" w14:textId="77777777" w:rsidR="00C542F0" w:rsidRDefault="00C542F0" w:rsidP="005B64EC">
            <w:pPr>
              <w:spacing w:before="100" w:beforeAutospacing="1" w:after="100" w:afterAutospacing="1"/>
              <w:jc w:val="both"/>
              <w:outlineLvl w:val="1"/>
              <w:rPr>
                <w:rFonts w:eastAsia="Times New Roman" w:cs="Arial"/>
                <w:b/>
                <w:bCs/>
                <w:sz w:val="24"/>
                <w:szCs w:val="24"/>
                <w:lang w:eastAsia="fr-FR"/>
              </w:rPr>
            </w:pPr>
          </w:p>
          <w:p w14:paraId="7065D917" w14:textId="60E29B16" w:rsidR="00C542F0" w:rsidRPr="00C542F0" w:rsidRDefault="00C542F0" w:rsidP="005B64EC">
            <w:pPr>
              <w:spacing w:before="100" w:beforeAutospacing="1" w:after="100" w:afterAutospacing="1"/>
              <w:jc w:val="both"/>
              <w:outlineLvl w:val="1"/>
              <w:rPr>
                <w:rFonts w:eastAsia="Times New Roman" w:cs="Arial"/>
                <w:b/>
                <w:bCs/>
                <w:sz w:val="24"/>
                <w:szCs w:val="24"/>
                <w:lang w:eastAsia="fr-FR"/>
              </w:rPr>
            </w:pPr>
          </w:p>
        </w:tc>
        <w:tc>
          <w:tcPr>
            <w:tcW w:w="6804" w:type="dxa"/>
          </w:tcPr>
          <w:p w14:paraId="0E463B7F"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tc>
      </w:tr>
      <w:tr w:rsidR="00DB2DBD" w:rsidRPr="00C542F0" w14:paraId="31FE6A58" w14:textId="77777777" w:rsidTr="00C542F0">
        <w:tc>
          <w:tcPr>
            <w:tcW w:w="2977" w:type="dxa"/>
            <w:vAlign w:val="center"/>
          </w:tcPr>
          <w:p w14:paraId="4245767F"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p>
          <w:p w14:paraId="7DDFBC87"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r w:rsidRPr="00C542F0">
              <w:rPr>
                <w:rFonts w:eastAsia="Times New Roman" w:cs="Arial"/>
                <w:b/>
                <w:bCs/>
                <w:sz w:val="24"/>
                <w:szCs w:val="24"/>
                <w:lang w:eastAsia="fr-FR"/>
              </w:rPr>
              <w:t>Quel est l’objectif de cette image ? Quel(s) message(s) l’auteur souhaite-t-il transmettre ?</w:t>
            </w:r>
          </w:p>
          <w:p w14:paraId="0B507172" w14:textId="77777777" w:rsidR="00DB2DBD" w:rsidRPr="00C542F0" w:rsidRDefault="00DB2DBD" w:rsidP="005B64EC">
            <w:pPr>
              <w:spacing w:before="100" w:beforeAutospacing="1" w:after="100" w:afterAutospacing="1"/>
              <w:jc w:val="center"/>
              <w:outlineLvl w:val="1"/>
              <w:rPr>
                <w:rFonts w:eastAsia="Times New Roman" w:cs="Arial"/>
                <w:b/>
                <w:bCs/>
                <w:sz w:val="24"/>
                <w:szCs w:val="24"/>
                <w:lang w:eastAsia="fr-FR"/>
              </w:rPr>
            </w:pPr>
          </w:p>
        </w:tc>
        <w:tc>
          <w:tcPr>
            <w:tcW w:w="6095" w:type="dxa"/>
          </w:tcPr>
          <w:p w14:paraId="281CD332"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p w14:paraId="74DEE227"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p w14:paraId="2596ECD4"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p w14:paraId="2A0841D5"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tc>
        <w:tc>
          <w:tcPr>
            <w:tcW w:w="6804" w:type="dxa"/>
          </w:tcPr>
          <w:p w14:paraId="19D2406E" w14:textId="77777777" w:rsidR="00DB2DBD" w:rsidRPr="00C542F0" w:rsidRDefault="00DB2DBD" w:rsidP="005B64EC">
            <w:pPr>
              <w:spacing w:before="100" w:beforeAutospacing="1" w:after="100" w:afterAutospacing="1"/>
              <w:jc w:val="both"/>
              <w:outlineLvl w:val="1"/>
              <w:rPr>
                <w:rFonts w:eastAsia="Times New Roman" w:cs="Arial"/>
                <w:b/>
                <w:bCs/>
                <w:sz w:val="24"/>
                <w:szCs w:val="24"/>
                <w:lang w:eastAsia="fr-FR"/>
              </w:rPr>
            </w:pPr>
          </w:p>
        </w:tc>
      </w:tr>
    </w:tbl>
    <w:p w14:paraId="31E270CA" w14:textId="77777777" w:rsidR="00DB2DBD" w:rsidRDefault="00DB2DBD" w:rsidP="00123301">
      <w:pPr>
        <w:jc w:val="both"/>
        <w:rPr>
          <w:rFonts w:cs="Arial"/>
        </w:rPr>
        <w:sectPr w:rsidR="00DB2DBD" w:rsidSect="00DB2DBD">
          <w:pgSz w:w="16838" w:h="11906" w:orient="landscape"/>
          <w:pgMar w:top="567" w:right="567" w:bottom="1418" w:left="1418" w:header="709" w:footer="709" w:gutter="0"/>
          <w:cols w:space="708"/>
          <w:docGrid w:linePitch="360"/>
        </w:sectPr>
      </w:pPr>
    </w:p>
    <w:p w14:paraId="23E6B990" w14:textId="77777777" w:rsidR="00123301" w:rsidRPr="00123301" w:rsidRDefault="00123301" w:rsidP="00053387">
      <w:pPr>
        <w:jc w:val="both"/>
      </w:pPr>
    </w:p>
    <w:sectPr w:rsidR="00123301" w:rsidRPr="00123301" w:rsidSect="00DB2DBD">
      <w:pgSz w:w="11906" w:h="16838"/>
      <w:pgMar w:top="1418"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AFD6" w14:textId="77777777" w:rsidR="00873FD7" w:rsidRDefault="00873FD7" w:rsidP="00F87C92">
      <w:pPr>
        <w:spacing w:after="0" w:line="240" w:lineRule="auto"/>
      </w:pPr>
      <w:r>
        <w:separator/>
      </w:r>
    </w:p>
  </w:endnote>
  <w:endnote w:type="continuationSeparator" w:id="0">
    <w:p w14:paraId="4CFFFD80" w14:textId="77777777" w:rsidR="00873FD7" w:rsidRDefault="00873FD7" w:rsidP="00F8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8958" w14:textId="684314FD" w:rsidR="00F87C92" w:rsidRDefault="00F87C92">
    <w:pPr>
      <w:pStyle w:val="Pieddepage"/>
      <w:jc w:val="right"/>
    </w:pPr>
    <w:r>
      <w:rPr>
        <w:color w:val="4472C4" w:themeColor="accent1"/>
        <w:sz w:val="20"/>
        <w:szCs w:val="20"/>
      </w:rPr>
      <w:t xml:space="preserve">PREMIERE BACCALAUREAT PROFESSIONNEL AGORA – CO-INTERVENTION – SEQU. 4 -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990EC08" w14:textId="77777777" w:rsidR="00F87C92" w:rsidRDefault="00F87C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AF4E" w14:textId="77777777" w:rsidR="00873FD7" w:rsidRDefault="00873FD7" w:rsidP="00F87C92">
      <w:pPr>
        <w:spacing w:after="0" w:line="240" w:lineRule="auto"/>
      </w:pPr>
      <w:r>
        <w:separator/>
      </w:r>
    </w:p>
  </w:footnote>
  <w:footnote w:type="continuationSeparator" w:id="0">
    <w:p w14:paraId="69F9C834" w14:textId="77777777" w:rsidR="00873FD7" w:rsidRDefault="00873FD7" w:rsidP="00F87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A33"/>
    <w:multiLevelType w:val="hybridMultilevel"/>
    <w:tmpl w:val="C2EA1B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FB3C1E"/>
    <w:multiLevelType w:val="hybridMultilevel"/>
    <w:tmpl w:val="251865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EB5FEB"/>
    <w:multiLevelType w:val="hybridMultilevel"/>
    <w:tmpl w:val="1006F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C07678"/>
    <w:multiLevelType w:val="hybridMultilevel"/>
    <w:tmpl w:val="43544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2836306">
    <w:abstractNumId w:val="2"/>
  </w:num>
  <w:num w:numId="2" w16cid:durableId="726345446">
    <w:abstractNumId w:val="0"/>
  </w:num>
  <w:num w:numId="3" w16cid:durableId="1280186239">
    <w:abstractNumId w:val="1"/>
  </w:num>
  <w:num w:numId="4" w16cid:durableId="379672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5"/>
    <w:rsid w:val="00053387"/>
    <w:rsid w:val="00073256"/>
    <w:rsid w:val="000D5182"/>
    <w:rsid w:val="00123301"/>
    <w:rsid w:val="001A3FDF"/>
    <w:rsid w:val="004B7CCE"/>
    <w:rsid w:val="006520D5"/>
    <w:rsid w:val="00873FD7"/>
    <w:rsid w:val="00C46653"/>
    <w:rsid w:val="00C542F0"/>
    <w:rsid w:val="00DB2DBD"/>
    <w:rsid w:val="00F87C92"/>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DB77"/>
  <w15:chartTrackingRefBased/>
  <w15:docId w15:val="{4DF5E284-2B8C-44A4-B422-E8F31615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0D5"/>
    <w:rPr>
      <w:kern w:val="0"/>
      <w14:ligatures w14:val="none"/>
    </w:rPr>
  </w:style>
  <w:style w:type="paragraph" w:styleId="Titre1">
    <w:name w:val="heading 1"/>
    <w:basedOn w:val="Normal"/>
    <w:link w:val="Titre1Car"/>
    <w:uiPriority w:val="9"/>
    <w:qFormat/>
    <w:rsid w:val="00652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520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520D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20D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6520D5"/>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6520D5"/>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unhideWhenUsed/>
    <w:rsid w:val="006520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520D5"/>
    <w:rPr>
      <w:b/>
      <w:bCs/>
    </w:rPr>
  </w:style>
  <w:style w:type="character" w:styleId="Lienhypertexte">
    <w:name w:val="Hyperlink"/>
    <w:basedOn w:val="Policepardfaut"/>
    <w:uiPriority w:val="99"/>
    <w:unhideWhenUsed/>
    <w:rsid w:val="006520D5"/>
    <w:rPr>
      <w:color w:val="0000FF"/>
      <w:u w:val="single"/>
    </w:rPr>
  </w:style>
  <w:style w:type="character" w:styleId="Mentionnonrsolue">
    <w:name w:val="Unresolved Mention"/>
    <w:basedOn w:val="Policepardfaut"/>
    <w:uiPriority w:val="99"/>
    <w:semiHidden/>
    <w:unhideWhenUsed/>
    <w:rsid w:val="00123301"/>
    <w:rPr>
      <w:color w:val="605E5C"/>
      <w:shd w:val="clear" w:color="auto" w:fill="E1DFDD"/>
    </w:rPr>
  </w:style>
  <w:style w:type="table" w:styleId="Grilledutableau">
    <w:name w:val="Table Grid"/>
    <w:basedOn w:val="TableauNormal"/>
    <w:uiPriority w:val="39"/>
    <w:rsid w:val="001233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5182"/>
    <w:pPr>
      <w:ind w:left="720"/>
      <w:contextualSpacing/>
    </w:pPr>
  </w:style>
  <w:style w:type="paragraph" w:styleId="En-tte">
    <w:name w:val="header"/>
    <w:basedOn w:val="Normal"/>
    <w:link w:val="En-tteCar"/>
    <w:uiPriority w:val="99"/>
    <w:unhideWhenUsed/>
    <w:rsid w:val="00F87C92"/>
    <w:pPr>
      <w:tabs>
        <w:tab w:val="center" w:pos="4536"/>
        <w:tab w:val="right" w:pos="9072"/>
      </w:tabs>
      <w:spacing w:after="0" w:line="240" w:lineRule="auto"/>
    </w:pPr>
  </w:style>
  <w:style w:type="character" w:customStyle="1" w:styleId="En-tteCar">
    <w:name w:val="En-tête Car"/>
    <w:basedOn w:val="Policepardfaut"/>
    <w:link w:val="En-tte"/>
    <w:uiPriority w:val="99"/>
    <w:rsid w:val="00F87C92"/>
    <w:rPr>
      <w:kern w:val="0"/>
      <w14:ligatures w14:val="none"/>
    </w:rPr>
  </w:style>
  <w:style w:type="paragraph" w:styleId="Pieddepage">
    <w:name w:val="footer"/>
    <w:basedOn w:val="Normal"/>
    <w:link w:val="PieddepageCar"/>
    <w:uiPriority w:val="99"/>
    <w:unhideWhenUsed/>
    <w:rsid w:val="00F87C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C9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naitreetgrandir.com/fr/etape/3-5-ans/langage/fiche.aspx?doc=langage-apprendre-nommer-couleurs"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naitreetgrandir.com/fr/etape/3-5-ans/apprentissage-jeux/fiche.aspx?doc=tricycle-trottinette-bicyclett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naitreetgrandir.com/fr/etape/1_3_ans/jeux/fiche.aspx?doc=ecrans-jeunes-enfants-television-ordinateur-tablette"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naitreetgrandir.com/fr/etape/1_3_ans/jeux/fiche.aspx?doc=bg-naitre-grandir-lire-que-faire-1-a-3-a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boox.com" TargetMode="External"/><Relationship Id="rId24" Type="http://schemas.openxmlformats.org/officeDocument/2006/relationships/hyperlink" Target="https://naitreetgrandir.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naitreetgrandir.com/fr/sante/bg-naitre-grandir-obesite-infantile/" TargetMode="External"/><Relationship Id="rId28" Type="http://schemas.openxmlformats.org/officeDocument/2006/relationships/hyperlink" Target="https://www.youtube.com/watch?v=dvO5XddyRq0" TargetMode="External"/><Relationship Id="rId10" Type="http://schemas.openxmlformats.org/officeDocument/2006/relationships/hyperlink" Target="https://www.idboox.com" TargetMode="External"/><Relationship Id="rId19" Type="http://schemas.openxmlformats.org/officeDocument/2006/relationships/hyperlink" Target="https://naitreetgrandir.com/fr/etape/1_3_ans/comportement/fiche.aspx?doc=bg-naitre-grandir-faire-patient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naitreetgrandir.com/fr/etape/1_3_ans/jeux/fiche.aspx?doc=ecrans-jeunes-enfants-television-ordinateur-tablette" TargetMode="External"/><Relationship Id="rId27" Type="http://schemas.openxmlformats.org/officeDocument/2006/relationships/hyperlink" Target="https://www.youtube.com/watch?v=79WEppm33eo"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F963-53A4-4537-8A95-9D2B1ECF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1482</Words>
  <Characters>8156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4</cp:revision>
  <dcterms:created xsi:type="dcterms:W3CDTF">2023-01-25T03:53:00Z</dcterms:created>
  <dcterms:modified xsi:type="dcterms:W3CDTF">2023-01-25T05:30:00Z</dcterms:modified>
</cp:coreProperties>
</file>