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9"/>
      </w:tblGrid>
      <w:tr w:rsidR="002B055A" w14:paraId="19AC8D5F" w14:textId="77777777" w:rsidTr="00BB48A1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CCF4" w14:textId="77777777" w:rsidR="002B055A" w:rsidRDefault="002B055A" w:rsidP="00BB48A1">
            <w:pPr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bCs/>
                <w:color w:val="006666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6666"/>
                <w:sz w:val="24"/>
                <w:szCs w:val="24"/>
              </w:rPr>
              <w:t>TCAP Opérateur Logistique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6D3A" w14:textId="77777777" w:rsidR="002B055A" w:rsidRDefault="002B055A" w:rsidP="00BB48A1">
            <w:pPr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bCs/>
                <w:color w:val="006666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6666"/>
                <w:sz w:val="24"/>
                <w:szCs w:val="24"/>
              </w:rPr>
              <w:t>Économie – Droit</w:t>
            </w:r>
          </w:p>
          <w:p w14:paraId="6CA539F0" w14:textId="77777777" w:rsidR="002B055A" w:rsidRDefault="002B055A" w:rsidP="00BB48A1">
            <w:pPr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bCs/>
                <w:color w:val="006666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6666"/>
                <w:sz w:val="24"/>
                <w:szCs w:val="24"/>
              </w:rPr>
              <w:t xml:space="preserve">DOSSIER 3 </w:t>
            </w:r>
          </w:p>
        </w:tc>
      </w:tr>
      <w:tr w:rsidR="002B055A" w14:paraId="366D5C87" w14:textId="77777777" w:rsidTr="00BB48A1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3F9F" w14:textId="77777777" w:rsidR="002B055A" w:rsidRDefault="002B055A" w:rsidP="00BB48A1">
            <w:pPr>
              <w:spacing w:before="120" w:after="120" w:line="240" w:lineRule="auto"/>
              <w:jc w:val="center"/>
              <w:textAlignment w:val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DOSSIER 3 – L’information et la défense du consommateur </w:t>
            </w:r>
          </w:p>
        </w:tc>
      </w:tr>
      <w:tr w:rsidR="002B055A" w14:paraId="768CA10B" w14:textId="77777777" w:rsidTr="00BB48A1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6F80" w14:textId="77777777" w:rsidR="002B055A" w:rsidRDefault="002B055A" w:rsidP="00BB48A1">
            <w:pPr>
              <w:spacing w:after="0" w:line="240" w:lineRule="auto"/>
              <w:textAlignment w:val="auto"/>
            </w:pPr>
            <w:r>
              <w:rPr>
                <w:rFonts w:ascii="Arial" w:hAnsi="Arial"/>
                <w:b/>
                <w:bCs/>
              </w:rPr>
              <w:t>Objectifs</w:t>
            </w:r>
            <w:r>
              <w:rPr>
                <w:rFonts w:ascii="Arial" w:hAnsi="Arial"/>
              </w:rPr>
              <w:t> :</w:t>
            </w:r>
          </w:p>
          <w:p w14:paraId="79594DC6" w14:textId="77777777" w:rsidR="002B055A" w:rsidRDefault="002B055A" w:rsidP="00BB48A1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• Repérer les informations protégeant le consommateur</w:t>
            </w:r>
          </w:p>
          <w:p w14:paraId="7209A1AF" w14:textId="77777777" w:rsidR="002B055A" w:rsidRDefault="002B055A" w:rsidP="00BB48A1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• Identifier les principaux organismes de défense du consommateur</w:t>
            </w:r>
          </w:p>
        </w:tc>
      </w:tr>
      <w:tr w:rsidR="002B055A" w14:paraId="2E71C101" w14:textId="77777777" w:rsidTr="002B055A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8EFE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2B055A">
              <w:rPr>
                <w:rFonts w:ascii="Arial" w:hAnsi="Arial"/>
                <w:b/>
                <w:bCs/>
              </w:rPr>
              <w:t>NOM :</w:t>
            </w:r>
            <w:r w:rsidRPr="002B055A">
              <w:rPr>
                <w:rFonts w:ascii="Arial" w:hAnsi="Arial"/>
                <w:b/>
                <w:bCs/>
              </w:rPr>
              <w:tab/>
            </w:r>
            <w:r w:rsidRPr="002B055A">
              <w:rPr>
                <w:rFonts w:ascii="Arial" w:hAnsi="Arial"/>
                <w:b/>
                <w:bCs/>
              </w:rPr>
              <w:tab/>
            </w:r>
            <w:r w:rsidRPr="002B055A">
              <w:rPr>
                <w:rFonts w:ascii="Arial" w:hAnsi="Arial"/>
                <w:b/>
                <w:bCs/>
              </w:rPr>
              <w:tab/>
            </w:r>
            <w:r w:rsidRPr="002B055A">
              <w:rPr>
                <w:rFonts w:ascii="Arial" w:hAnsi="Arial"/>
                <w:b/>
                <w:bCs/>
              </w:rPr>
              <w:tab/>
            </w:r>
            <w:r w:rsidRPr="002B055A">
              <w:rPr>
                <w:rFonts w:ascii="Arial" w:hAnsi="Arial"/>
                <w:b/>
                <w:bCs/>
              </w:rPr>
              <w:tab/>
            </w:r>
            <w:r w:rsidRPr="002B055A">
              <w:rPr>
                <w:rFonts w:ascii="Arial" w:hAnsi="Arial"/>
                <w:b/>
                <w:bCs/>
              </w:rPr>
              <w:tab/>
              <w:t>Prénom :</w:t>
            </w:r>
          </w:p>
          <w:p w14:paraId="65E0813C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  <w:p w14:paraId="70CAC844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2B055A">
              <w:rPr>
                <w:rFonts w:ascii="Arial" w:hAnsi="Arial"/>
                <w:b/>
                <w:bCs/>
              </w:rPr>
              <w:t>Date de l’évaluation :</w:t>
            </w:r>
          </w:p>
        </w:tc>
      </w:tr>
      <w:tr w:rsidR="002B055A" w14:paraId="7C2B5411" w14:textId="77777777" w:rsidTr="002B055A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1735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2B055A">
              <w:rPr>
                <w:rFonts w:ascii="Arial" w:hAnsi="Arial"/>
                <w:b/>
                <w:bCs/>
              </w:rPr>
              <w:t>Compétence évaluée et niveau de maîtrise de la compétence atteint</w:t>
            </w:r>
          </w:p>
          <w:p w14:paraId="4DB52FE8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  <w:p w14:paraId="681F5D64" w14:textId="09809CEB" w:rsidR="002B055A" w:rsidRPr="002B055A" w:rsidRDefault="002B055A" w:rsidP="002B055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2B055A">
              <w:rPr>
                <w:rFonts w:ascii="Arial" w:hAnsi="Arial"/>
                <w:b/>
                <w:bCs/>
              </w:rPr>
              <w:t>La consommation des ménages</w:t>
            </w:r>
          </w:p>
          <w:p w14:paraId="66F9032C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  <w:p w14:paraId="164EC4A2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2B055A">
              <w:rPr>
                <w:rFonts w:ascii="Arial" w:hAnsi="Arial"/>
                <w:b/>
                <w:bCs/>
              </w:rPr>
              <w:t>Niveau de maîtrise de la compétence</w:t>
            </w:r>
          </w:p>
          <w:p w14:paraId="66DA45A1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  <w:tbl>
            <w:tblPr>
              <w:tblW w:w="883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09"/>
              <w:gridCol w:w="2209"/>
              <w:gridCol w:w="2209"/>
              <w:gridCol w:w="2209"/>
            </w:tblGrid>
            <w:tr w:rsidR="002B055A" w14:paraId="14B1D0D3" w14:textId="77777777" w:rsidTr="00BB48A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E15F7" w14:textId="77777777" w:rsidR="002B055A" w:rsidRDefault="002B055A" w:rsidP="00BB48A1">
                  <w:pPr>
                    <w:spacing w:before="120" w:after="12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Maximal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D94D2" w14:textId="77777777" w:rsidR="002B055A" w:rsidRDefault="002B055A" w:rsidP="00BB48A1">
                  <w:pPr>
                    <w:spacing w:before="120" w:after="12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Suffisant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3324C" w14:textId="77777777" w:rsidR="002B055A" w:rsidRDefault="002B055A" w:rsidP="00BB48A1">
                  <w:pPr>
                    <w:spacing w:before="120" w:after="12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Partiel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FD9109" w14:textId="77777777" w:rsidR="002B055A" w:rsidRDefault="002B055A" w:rsidP="00BB48A1">
                  <w:pPr>
                    <w:spacing w:before="120" w:after="12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Aucun</w:t>
                  </w:r>
                </w:p>
              </w:tc>
            </w:tr>
            <w:tr w:rsidR="002B055A" w14:paraId="6427AE03" w14:textId="77777777" w:rsidTr="00BB48A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4FE3B" w14:textId="77777777" w:rsidR="002B055A" w:rsidRDefault="002B055A" w:rsidP="00BB48A1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B9CD2A" w14:textId="77777777" w:rsidR="002B055A" w:rsidRDefault="002B055A" w:rsidP="00BB48A1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092C9" w14:textId="77777777" w:rsidR="002B055A" w:rsidRDefault="002B055A" w:rsidP="00BB48A1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BEA49" w14:textId="77777777" w:rsidR="002B055A" w:rsidRDefault="002B055A" w:rsidP="00BB48A1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14:paraId="614B8B78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  <w:p w14:paraId="2A327507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2B055A">
              <w:rPr>
                <w:rFonts w:ascii="Arial" w:hAnsi="Arial"/>
                <w:b/>
                <w:bCs/>
              </w:rPr>
              <w:t>Observations :</w:t>
            </w:r>
          </w:p>
          <w:p w14:paraId="6CC05FBD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  <w:p w14:paraId="2B25B977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  <w:p w14:paraId="6148E1F8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  <w:p w14:paraId="4411DBD5" w14:textId="77777777" w:rsidR="002B055A" w:rsidRPr="002B055A" w:rsidRDefault="002B055A" w:rsidP="002B055A">
            <w:pPr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</w:tr>
    </w:tbl>
    <w:p w14:paraId="7AAE83FF" w14:textId="77777777" w:rsidR="00B41958" w:rsidRDefault="00B41958" w:rsidP="00B41958">
      <w:pPr>
        <w:spacing w:after="0"/>
        <w:jc w:val="center"/>
        <w:rPr>
          <w:color w:val="FF0000"/>
          <w:sz w:val="24"/>
          <w:szCs w:val="24"/>
        </w:rPr>
      </w:pPr>
    </w:p>
    <w:p w14:paraId="418D9FA1" w14:textId="28525C5F" w:rsidR="00333474" w:rsidRPr="00B41958" w:rsidRDefault="00333474" w:rsidP="00B41958">
      <w:pPr>
        <w:spacing w:after="0"/>
        <w:jc w:val="center"/>
        <w:rPr>
          <w:b/>
          <w:bCs/>
          <w:color w:val="006666"/>
          <w:sz w:val="24"/>
          <w:szCs w:val="24"/>
        </w:rPr>
      </w:pPr>
      <w:r w:rsidRPr="00B41958">
        <w:rPr>
          <w:b/>
          <w:bCs/>
          <w:color w:val="006666"/>
          <w:sz w:val="24"/>
          <w:szCs w:val="24"/>
        </w:rPr>
        <w:t>Contexte</w:t>
      </w:r>
      <w:r w:rsidR="00B41958" w:rsidRPr="00B41958">
        <w:rPr>
          <w:b/>
          <w:bCs/>
          <w:color w:val="006666"/>
          <w:sz w:val="24"/>
          <w:szCs w:val="24"/>
        </w:rPr>
        <w:t xml:space="preserve"> professionnel</w:t>
      </w:r>
    </w:p>
    <w:p w14:paraId="7C487121" w14:textId="77777777" w:rsidR="00B41958" w:rsidRPr="00B41958" w:rsidRDefault="00B41958" w:rsidP="00B41958">
      <w:pPr>
        <w:spacing w:after="0"/>
        <w:jc w:val="center"/>
        <w:rPr>
          <w:color w:val="FF0000"/>
          <w:sz w:val="24"/>
          <w:szCs w:val="24"/>
        </w:rPr>
      </w:pPr>
    </w:p>
    <w:p w14:paraId="0EA7D77F" w14:textId="17B29DF4" w:rsidR="00333474" w:rsidRDefault="00333474" w:rsidP="00333474">
      <w:pPr>
        <w:jc w:val="both"/>
      </w:pPr>
      <w:r>
        <w:t xml:space="preserve">Qui n’a </w:t>
      </w:r>
      <w:r w:rsidR="00B41958">
        <w:t xml:space="preserve">déjà </w:t>
      </w:r>
      <w:r>
        <w:t xml:space="preserve">pas fait l’objet d’appels incessants de démarcheurs téléphoniques proposant des solutions économiques pour réduire </w:t>
      </w:r>
      <w:r w:rsidR="00B41958">
        <w:t>ses</w:t>
      </w:r>
      <w:r>
        <w:t xml:space="preserve"> factures </w:t>
      </w:r>
      <w:r w:rsidR="00B41958">
        <w:t>d’électricité</w:t>
      </w:r>
      <w:r w:rsidR="00BB3BBA">
        <w:t> ?</w:t>
      </w:r>
      <w:r>
        <w:t xml:space="preserve"> Qui n’a jamais douté des promotions exceptionnelles (jusqu’à 80 %) des professionnels sur certains sites Internet ? En votre qualité de consommateur, vous êtes libre de vos choix mais encore faut-il être </w:t>
      </w:r>
      <w:r w:rsidR="00B41958">
        <w:t>ne pas être trompé ou mal informé pour les réaliser</w:t>
      </w:r>
      <w:r>
        <w:t> ! Vous avez rassemblé un ensemble documentaire sur ces problématiques</w:t>
      </w:r>
      <w:r w:rsidR="00B41958">
        <w:t xml:space="preserve"> et </w:t>
      </w:r>
      <w:r>
        <w:t xml:space="preserve">allez </w:t>
      </w:r>
      <w:r w:rsidR="00B41958">
        <w:t>tenter</w:t>
      </w:r>
      <w:r>
        <w:t xml:space="preserve"> de dégager </w:t>
      </w:r>
      <w:r w:rsidR="00B41958">
        <w:t xml:space="preserve">les moyens permettant aux consommateurs d’être informés et protégés dans leurs actes d’achat. </w:t>
      </w:r>
    </w:p>
    <w:p w14:paraId="71EEBB6F" w14:textId="6963436F" w:rsidR="00333474" w:rsidRPr="00333474" w:rsidRDefault="00333474" w:rsidP="00333474">
      <w:pPr>
        <w:jc w:val="both"/>
        <w:rPr>
          <w:b/>
          <w:bCs/>
          <w:color w:val="FF0000"/>
        </w:rPr>
      </w:pPr>
      <w:r w:rsidRPr="00333474">
        <w:rPr>
          <w:b/>
          <w:bCs/>
          <w:color w:val="FF0000"/>
        </w:rPr>
        <w:t>DOCUMENT 1</w:t>
      </w:r>
    </w:p>
    <w:p w14:paraId="654F5776" w14:textId="496D9F19" w:rsidR="002B055A" w:rsidRDefault="00186F7F" w:rsidP="00186F7F">
      <w:pPr>
        <w:pStyle w:val="Paragraphedeliste"/>
        <w:numPr>
          <w:ilvl w:val="0"/>
          <w:numId w:val="2"/>
        </w:numPr>
        <w:jc w:val="both"/>
      </w:pPr>
      <w:r>
        <w:t>Identifiez l’entreprise concernée par cette affaire et précisez son activité.</w:t>
      </w:r>
    </w:p>
    <w:p w14:paraId="1F5798E5" w14:textId="77777777" w:rsidR="003727B2" w:rsidRDefault="003727B2" w:rsidP="003727B2">
      <w:pPr>
        <w:jc w:val="both"/>
      </w:pPr>
    </w:p>
    <w:p w14:paraId="678FF1B7" w14:textId="4FAB474B" w:rsidR="00186F7F" w:rsidRDefault="00186F7F" w:rsidP="00186F7F">
      <w:pPr>
        <w:pStyle w:val="Paragraphedeliste"/>
        <w:numPr>
          <w:ilvl w:val="0"/>
          <w:numId w:val="2"/>
        </w:numPr>
        <w:jc w:val="both"/>
      </w:pPr>
      <w:r>
        <w:t xml:space="preserve">Précisez quel est l’organisme qui a mené l’enquête. </w:t>
      </w:r>
    </w:p>
    <w:p w14:paraId="600A9EB2" w14:textId="77777777" w:rsidR="003727B2" w:rsidRDefault="003727B2" w:rsidP="003727B2">
      <w:pPr>
        <w:pStyle w:val="Paragraphedeliste"/>
      </w:pPr>
    </w:p>
    <w:p w14:paraId="6B398C66" w14:textId="6BB8D542" w:rsidR="00186F7F" w:rsidRDefault="00186F7F" w:rsidP="00186F7F">
      <w:pPr>
        <w:pStyle w:val="Paragraphedeliste"/>
        <w:numPr>
          <w:ilvl w:val="0"/>
          <w:numId w:val="2"/>
        </w:numPr>
        <w:jc w:val="both"/>
      </w:pPr>
      <w:r>
        <w:t>Expliquez ce qui a été reproché au commerçant.</w:t>
      </w:r>
    </w:p>
    <w:p w14:paraId="5ABD40B3" w14:textId="77777777" w:rsidR="00BB3BBA" w:rsidRDefault="00BB3BBA" w:rsidP="00333474">
      <w:pPr>
        <w:jc w:val="both"/>
      </w:pPr>
    </w:p>
    <w:p w14:paraId="6E202ED7" w14:textId="77777777" w:rsidR="00B172B7" w:rsidRDefault="00B172B7" w:rsidP="00333474">
      <w:pPr>
        <w:jc w:val="both"/>
      </w:pPr>
    </w:p>
    <w:p w14:paraId="22514E45" w14:textId="463F5321" w:rsidR="00186F7F" w:rsidRDefault="00186F7F" w:rsidP="00186F7F">
      <w:pPr>
        <w:pStyle w:val="Paragraphedeliste"/>
        <w:numPr>
          <w:ilvl w:val="0"/>
          <w:numId w:val="2"/>
        </w:numPr>
        <w:jc w:val="both"/>
      </w:pPr>
      <w:r>
        <w:t xml:space="preserve">Précisez </w:t>
      </w:r>
      <w:r w:rsidR="00333474">
        <w:t>quels sont les textes de loi qui ont permis de sanctionner le professionnel</w:t>
      </w:r>
      <w:r>
        <w:t>.</w:t>
      </w:r>
    </w:p>
    <w:p w14:paraId="3C039810" w14:textId="77777777" w:rsidR="003727B2" w:rsidRDefault="003727B2" w:rsidP="003727B2">
      <w:pPr>
        <w:jc w:val="both"/>
      </w:pPr>
    </w:p>
    <w:p w14:paraId="23BFE376" w14:textId="77777777" w:rsidR="003727B2" w:rsidRDefault="003727B2" w:rsidP="003727B2">
      <w:pPr>
        <w:jc w:val="both"/>
      </w:pPr>
    </w:p>
    <w:p w14:paraId="50A9B111" w14:textId="3DCE9156" w:rsidR="00186F7F" w:rsidRDefault="00186F7F" w:rsidP="00186F7F">
      <w:pPr>
        <w:pStyle w:val="Paragraphedeliste"/>
        <w:numPr>
          <w:ilvl w:val="0"/>
          <w:numId w:val="2"/>
        </w:numPr>
        <w:jc w:val="both"/>
      </w:pPr>
      <w:r>
        <w:lastRenderedPageBreak/>
        <w:t>Repérez quelle a été la sanction appliquée.</w:t>
      </w:r>
    </w:p>
    <w:p w14:paraId="1106D59C" w14:textId="77777777" w:rsidR="003727B2" w:rsidRDefault="003727B2" w:rsidP="00186F7F">
      <w:pPr>
        <w:jc w:val="both"/>
        <w:rPr>
          <w:b/>
          <w:bCs/>
          <w:color w:val="FF0000"/>
        </w:rPr>
      </w:pPr>
    </w:p>
    <w:p w14:paraId="4D6EFB3E" w14:textId="77777777" w:rsidR="003727B2" w:rsidRDefault="003727B2" w:rsidP="00186F7F">
      <w:pPr>
        <w:jc w:val="both"/>
        <w:rPr>
          <w:b/>
          <w:bCs/>
          <w:color w:val="FF0000"/>
        </w:rPr>
      </w:pPr>
    </w:p>
    <w:p w14:paraId="261436E6" w14:textId="4E3D7A18" w:rsidR="00333474" w:rsidRPr="00333474" w:rsidRDefault="00333474" w:rsidP="00186F7F">
      <w:pPr>
        <w:jc w:val="both"/>
        <w:rPr>
          <w:b/>
          <w:bCs/>
          <w:color w:val="FF0000"/>
        </w:rPr>
      </w:pPr>
      <w:r w:rsidRPr="00333474">
        <w:rPr>
          <w:b/>
          <w:bCs/>
          <w:color w:val="FF0000"/>
        </w:rPr>
        <w:t>DOCUMENT 2</w:t>
      </w:r>
    </w:p>
    <w:p w14:paraId="639ECAB6" w14:textId="5EFE0903" w:rsidR="00186F7F" w:rsidRDefault="00186F7F" w:rsidP="00186F7F">
      <w:pPr>
        <w:pStyle w:val="Paragraphedeliste"/>
        <w:numPr>
          <w:ilvl w:val="0"/>
          <w:numId w:val="2"/>
        </w:numPr>
        <w:jc w:val="both"/>
      </w:pPr>
      <w:r>
        <w:t>Identifiez les missions principales de la DGGCRF.</w:t>
      </w:r>
    </w:p>
    <w:p w14:paraId="10E4E2BA" w14:textId="77777777" w:rsidR="003727B2" w:rsidRDefault="003727B2" w:rsidP="003727B2">
      <w:pPr>
        <w:pStyle w:val="Paragraphedeliste"/>
        <w:jc w:val="both"/>
      </w:pPr>
    </w:p>
    <w:p w14:paraId="797BCF9B" w14:textId="77777777" w:rsidR="003727B2" w:rsidRDefault="003727B2" w:rsidP="003727B2">
      <w:pPr>
        <w:pStyle w:val="Paragraphedeliste"/>
        <w:jc w:val="both"/>
      </w:pPr>
    </w:p>
    <w:p w14:paraId="5E7A9102" w14:textId="77777777" w:rsidR="003727B2" w:rsidRDefault="003727B2" w:rsidP="003727B2">
      <w:pPr>
        <w:pStyle w:val="Paragraphedeliste"/>
        <w:jc w:val="both"/>
      </w:pPr>
    </w:p>
    <w:p w14:paraId="3F2C1873" w14:textId="77777777" w:rsidR="003727B2" w:rsidRDefault="003727B2" w:rsidP="003727B2">
      <w:pPr>
        <w:pStyle w:val="Paragraphedeliste"/>
        <w:jc w:val="both"/>
      </w:pPr>
    </w:p>
    <w:p w14:paraId="45D0D64F" w14:textId="1F19E327" w:rsidR="00186F7F" w:rsidRDefault="00186F7F" w:rsidP="00186F7F">
      <w:pPr>
        <w:pStyle w:val="Paragraphedeliste"/>
        <w:numPr>
          <w:ilvl w:val="0"/>
          <w:numId w:val="2"/>
        </w:numPr>
        <w:jc w:val="both"/>
      </w:pPr>
      <w:r>
        <w:t>Précisez les professionnels concernés par les contrôles.</w:t>
      </w:r>
    </w:p>
    <w:p w14:paraId="1047AADC" w14:textId="77777777" w:rsidR="003727B2" w:rsidRDefault="003727B2" w:rsidP="00186F7F">
      <w:pPr>
        <w:jc w:val="both"/>
        <w:rPr>
          <w:b/>
          <w:bCs/>
          <w:color w:val="FF0000"/>
        </w:rPr>
      </w:pPr>
    </w:p>
    <w:p w14:paraId="4BDB3132" w14:textId="77777777" w:rsidR="003727B2" w:rsidRDefault="003727B2" w:rsidP="00186F7F">
      <w:pPr>
        <w:jc w:val="both"/>
        <w:rPr>
          <w:b/>
          <w:bCs/>
          <w:color w:val="FF0000"/>
        </w:rPr>
      </w:pPr>
    </w:p>
    <w:p w14:paraId="1926745F" w14:textId="28728168" w:rsidR="00333474" w:rsidRPr="00B41958" w:rsidRDefault="00B41958" w:rsidP="00186F7F">
      <w:pPr>
        <w:jc w:val="both"/>
        <w:rPr>
          <w:b/>
          <w:bCs/>
          <w:color w:val="FF0000"/>
        </w:rPr>
      </w:pPr>
      <w:r w:rsidRPr="00B41958">
        <w:rPr>
          <w:b/>
          <w:bCs/>
          <w:color w:val="FF0000"/>
        </w:rPr>
        <w:t>DOCUMENT 3</w:t>
      </w:r>
    </w:p>
    <w:p w14:paraId="1C3C3857" w14:textId="13F14E06" w:rsidR="00B41958" w:rsidRDefault="00B41958" w:rsidP="00B41958">
      <w:pPr>
        <w:pStyle w:val="Paragraphedeliste"/>
        <w:numPr>
          <w:ilvl w:val="0"/>
          <w:numId w:val="2"/>
        </w:numPr>
        <w:jc w:val="both"/>
      </w:pPr>
      <w:r>
        <w:t xml:space="preserve">Indiquez comment les mentions obligatoires sur une étiquette de vin peuvent : </w:t>
      </w:r>
    </w:p>
    <w:p w14:paraId="1183454C" w14:textId="77777777" w:rsidR="00B41958" w:rsidRDefault="00B41958" w:rsidP="00B41958">
      <w:pPr>
        <w:pStyle w:val="Paragraphedeliste"/>
        <w:jc w:val="both"/>
      </w:pPr>
    </w:p>
    <w:p w14:paraId="0CEF305E" w14:textId="32FB30C5" w:rsidR="00B41958" w:rsidRPr="003727B2" w:rsidRDefault="00B41958" w:rsidP="003E6AA0">
      <w:pPr>
        <w:pStyle w:val="Paragraphedeliste"/>
        <w:numPr>
          <w:ilvl w:val="0"/>
          <w:numId w:val="3"/>
        </w:numPr>
        <w:jc w:val="both"/>
        <w:rPr>
          <w:color w:val="FF0000"/>
        </w:rPr>
      </w:pPr>
      <w:r>
        <w:t>Protéger le consommateur :</w:t>
      </w:r>
      <w:r w:rsidR="00B172B7">
        <w:t xml:space="preserve"> </w:t>
      </w:r>
    </w:p>
    <w:p w14:paraId="0944487F" w14:textId="77777777" w:rsidR="003727B2" w:rsidRPr="00B172B7" w:rsidRDefault="003727B2" w:rsidP="003727B2">
      <w:pPr>
        <w:pStyle w:val="Paragraphedeliste"/>
        <w:jc w:val="both"/>
        <w:rPr>
          <w:color w:val="FF0000"/>
        </w:rPr>
      </w:pPr>
    </w:p>
    <w:p w14:paraId="6E5066A2" w14:textId="77777777" w:rsidR="00B172B7" w:rsidRDefault="00B172B7" w:rsidP="00B172B7">
      <w:pPr>
        <w:pStyle w:val="Paragraphedeliste"/>
        <w:jc w:val="both"/>
      </w:pPr>
    </w:p>
    <w:p w14:paraId="07D3289C" w14:textId="1B9DEC75" w:rsidR="00B41958" w:rsidRDefault="00B41958" w:rsidP="00B41958">
      <w:pPr>
        <w:pStyle w:val="Paragraphedeliste"/>
        <w:numPr>
          <w:ilvl w:val="0"/>
          <w:numId w:val="3"/>
        </w:numPr>
        <w:jc w:val="both"/>
      </w:pPr>
      <w:r>
        <w:t>L’aider dans son choix :</w:t>
      </w:r>
      <w:r w:rsidR="00B172B7">
        <w:t xml:space="preserve"> </w:t>
      </w:r>
    </w:p>
    <w:p w14:paraId="62DD1156" w14:textId="77777777" w:rsidR="00B41958" w:rsidRDefault="00B41958" w:rsidP="00186F7F">
      <w:pPr>
        <w:jc w:val="both"/>
      </w:pPr>
    </w:p>
    <w:p w14:paraId="4A5790A3" w14:textId="77777777" w:rsidR="00B41958" w:rsidRDefault="00B41958" w:rsidP="00186F7F">
      <w:pPr>
        <w:jc w:val="both"/>
      </w:pPr>
    </w:p>
    <w:p w14:paraId="19DCE013" w14:textId="77777777" w:rsidR="00B41958" w:rsidRDefault="00B41958" w:rsidP="00186F7F">
      <w:pPr>
        <w:jc w:val="both"/>
      </w:pPr>
    </w:p>
    <w:p w14:paraId="3EE1F093" w14:textId="77777777" w:rsidR="00B41958" w:rsidRDefault="00B41958" w:rsidP="00186F7F">
      <w:pPr>
        <w:jc w:val="both"/>
      </w:pPr>
    </w:p>
    <w:p w14:paraId="6027FB6E" w14:textId="77777777" w:rsidR="00B41958" w:rsidRDefault="00B41958" w:rsidP="00186F7F">
      <w:pPr>
        <w:jc w:val="both"/>
      </w:pPr>
    </w:p>
    <w:p w14:paraId="18EDB518" w14:textId="77777777" w:rsidR="00B41958" w:rsidRDefault="00B41958" w:rsidP="00186F7F">
      <w:pPr>
        <w:jc w:val="both"/>
      </w:pPr>
    </w:p>
    <w:p w14:paraId="7A3DE9CB" w14:textId="77777777" w:rsidR="00B41958" w:rsidRDefault="00B41958" w:rsidP="00186F7F">
      <w:pPr>
        <w:jc w:val="both"/>
      </w:pPr>
    </w:p>
    <w:p w14:paraId="73B07E0E" w14:textId="77777777" w:rsidR="00B41958" w:rsidRDefault="00B41958" w:rsidP="00186F7F">
      <w:pPr>
        <w:jc w:val="both"/>
      </w:pPr>
    </w:p>
    <w:p w14:paraId="4F67A849" w14:textId="77777777" w:rsidR="00B41958" w:rsidRDefault="00B41958" w:rsidP="00186F7F">
      <w:pPr>
        <w:jc w:val="both"/>
      </w:pPr>
    </w:p>
    <w:p w14:paraId="32ACFF04" w14:textId="77777777" w:rsidR="00B41958" w:rsidRDefault="00B41958" w:rsidP="00186F7F">
      <w:pPr>
        <w:jc w:val="both"/>
      </w:pPr>
    </w:p>
    <w:p w14:paraId="30CAF0EE" w14:textId="77777777" w:rsidR="00B41958" w:rsidRDefault="00B41958" w:rsidP="00186F7F">
      <w:pPr>
        <w:jc w:val="both"/>
      </w:pPr>
    </w:p>
    <w:p w14:paraId="5DEB8CC7" w14:textId="77777777" w:rsidR="00B41958" w:rsidRDefault="00B41958" w:rsidP="00186F7F">
      <w:pPr>
        <w:jc w:val="both"/>
      </w:pPr>
    </w:p>
    <w:p w14:paraId="6A2A7235" w14:textId="77777777" w:rsidR="00B41958" w:rsidRDefault="00B41958" w:rsidP="00186F7F">
      <w:pPr>
        <w:jc w:val="both"/>
      </w:pPr>
    </w:p>
    <w:p w14:paraId="4A798625" w14:textId="77777777" w:rsidR="00B41958" w:rsidRDefault="00B41958" w:rsidP="00186F7F">
      <w:pPr>
        <w:jc w:val="both"/>
      </w:pPr>
    </w:p>
    <w:p w14:paraId="4138281A" w14:textId="77777777" w:rsidR="00B172B7" w:rsidRDefault="00B172B7" w:rsidP="00186F7F">
      <w:pPr>
        <w:jc w:val="both"/>
      </w:pPr>
    </w:p>
    <w:p w14:paraId="576CFF35" w14:textId="77777777" w:rsidR="00B41958" w:rsidRDefault="00B41958" w:rsidP="00186F7F">
      <w:pPr>
        <w:jc w:val="both"/>
      </w:pPr>
    </w:p>
    <w:p w14:paraId="657AA1AF" w14:textId="77777777" w:rsidR="00B41958" w:rsidRDefault="00B41958" w:rsidP="00186F7F">
      <w:pPr>
        <w:jc w:val="both"/>
      </w:pPr>
    </w:p>
    <w:p w14:paraId="3B12926A" w14:textId="77777777" w:rsidR="003727B2" w:rsidRDefault="003727B2" w:rsidP="00186F7F">
      <w:pPr>
        <w:jc w:val="both"/>
      </w:pPr>
    </w:p>
    <w:p w14:paraId="01D4B486" w14:textId="0190E4EA" w:rsidR="00186F7F" w:rsidRPr="002B055A" w:rsidRDefault="00186F7F" w:rsidP="00186F7F">
      <w:pPr>
        <w:jc w:val="both"/>
        <w:rPr>
          <w:b/>
          <w:bCs/>
          <w:color w:val="FF0000"/>
        </w:rPr>
      </w:pPr>
      <w:r w:rsidRPr="00333474">
        <w:rPr>
          <w:b/>
          <w:bCs/>
          <w:color w:val="FF0000"/>
        </w:rPr>
        <w:t xml:space="preserve">DOCUMENT 1 - </w:t>
      </w:r>
      <w:r w:rsidRPr="002B055A">
        <w:rPr>
          <w:b/>
          <w:bCs/>
          <w:color w:val="FF0000"/>
        </w:rPr>
        <w:t>Un site de ventes privées sanctionné d'une amende de 600.000 euros par la DGCCRF</w:t>
      </w:r>
    </w:p>
    <w:p w14:paraId="581E22F0" w14:textId="0FC902F7" w:rsidR="00186F7F" w:rsidRPr="002B055A" w:rsidRDefault="00186F7F" w:rsidP="00186F7F">
      <w:pPr>
        <w:jc w:val="both"/>
      </w:pPr>
      <w:r w:rsidRPr="002B055A">
        <w:t xml:space="preserve">Le 11 juillet dernier, le site de vente privée de grandes marques </w:t>
      </w:r>
      <w:r w:rsidR="00B172B7">
        <w:t>Showroommprive</w:t>
      </w:r>
      <w:r w:rsidRPr="002B055A">
        <w:t xml:space="preserve">.com a été sanctionné d’une amende de 600.000 € par la DGCCRF pour « fausses promotions ». </w:t>
      </w:r>
    </w:p>
    <w:p w14:paraId="172F3C1E" w14:textId="6F2B2A44" w:rsidR="00186F7F" w:rsidRPr="002B055A" w:rsidRDefault="00B172B7" w:rsidP="00186F7F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968354" wp14:editId="71309494">
            <wp:simplePos x="0" y="0"/>
            <wp:positionH relativeFrom="column">
              <wp:posOffset>3874770</wp:posOffset>
            </wp:positionH>
            <wp:positionV relativeFrom="paragraph">
              <wp:posOffset>280035</wp:posOffset>
            </wp:positionV>
            <wp:extent cx="1803400" cy="2042795"/>
            <wp:effectExtent l="0" t="0" r="6350" b="0"/>
            <wp:wrapSquare wrapText="bothSides"/>
            <wp:docPr id="1" name="Image 1" descr="Fausses promotions sur Internet : à quoi correspondent vraiment les prix  barrés que l'on voit sur les site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usses promotions sur Internet : à quoi correspondent vraiment les prix  barrés que l'on voit sur les sites ?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99"/>
                    <a:stretch/>
                  </pic:blipFill>
                  <pic:spPr bwMode="auto">
                    <a:xfrm>
                      <a:off x="0" y="0"/>
                      <a:ext cx="180340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7F" w:rsidRPr="002B055A">
        <w:t>Entre 2015 et 2020, les agents de la DGCCRF ont enquêté sur les pratiques commerciales de plusieurs acteurs du e-commerce.</w:t>
      </w:r>
    </w:p>
    <w:p w14:paraId="0A21F6BC" w14:textId="5F884CB3" w:rsidR="00186F7F" w:rsidRPr="002B055A" w:rsidRDefault="00B172B7" w:rsidP="00186F7F">
      <w:pPr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3639F" wp14:editId="0C5074AD">
                <wp:simplePos x="0" y="0"/>
                <wp:positionH relativeFrom="column">
                  <wp:posOffset>3817620</wp:posOffset>
                </wp:positionH>
                <wp:positionV relativeFrom="paragraph">
                  <wp:posOffset>241300</wp:posOffset>
                </wp:positionV>
                <wp:extent cx="120650" cy="50800"/>
                <wp:effectExtent l="0" t="38100" r="50800" b="44450"/>
                <wp:wrapNone/>
                <wp:docPr id="472809667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50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06C4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00.6pt;margin-top:19pt;width:9.5pt;height: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186F7F" w:rsidRPr="002B055A">
        <w:t xml:space="preserve">En contradiction avec la nouvelle législation applicable, le site de vente privée a mis en avant des </w:t>
      </w:r>
      <w:r w:rsidR="00186F7F" w:rsidRPr="002B055A">
        <w:rPr>
          <w:b/>
          <w:bCs/>
        </w:rPr>
        <w:t>prix de référence trompeurs</w:t>
      </w:r>
      <w:r w:rsidR="00186F7F" w:rsidRPr="002B055A">
        <w:t xml:space="preserve"> laissant croire aux consommateurs qu’ils bénéficiaient d’une réduction de prix exceptionnelle.</w:t>
      </w:r>
      <w:r>
        <w:t xml:space="preserve"> </w:t>
      </w:r>
    </w:p>
    <w:p w14:paraId="540347BD" w14:textId="721244FB" w:rsidR="00186F7F" w:rsidRPr="002B055A" w:rsidRDefault="00186F7F" w:rsidP="00186F7F">
      <w:pPr>
        <w:jc w:val="both"/>
      </w:pPr>
      <w:r w:rsidRPr="002B055A">
        <w:t>Ces fausses promotions sont constitutives du délit de pratiques commerciales trompeuses conformément aux articles L.121-2 et L.121-3 du code de la consommation, dans la mesure où elles ne permettent pas au consommateur d’effectuer un acte d’achat éclairé.</w:t>
      </w:r>
    </w:p>
    <w:p w14:paraId="1CE3F567" w14:textId="326F17BD" w:rsidR="00186F7F" w:rsidRPr="002B055A" w:rsidRDefault="00186F7F" w:rsidP="00186F7F">
      <w:pPr>
        <w:jc w:val="both"/>
      </w:pPr>
      <w:r w:rsidRPr="002B055A">
        <w:t>Pour cela, le site affichait notamment des prix de référence artificiellement « gonflés » pour pouvoir afficher des pourcentages de réduction plus intéressants.</w:t>
      </w:r>
    </w:p>
    <w:p w14:paraId="704A3ECA" w14:textId="3D349CC4" w:rsidR="00186F7F" w:rsidRDefault="00186F7F" w:rsidP="00186F7F">
      <w:pPr>
        <w:jc w:val="both"/>
      </w:pPr>
      <w:r w:rsidRPr="002B055A">
        <w:t xml:space="preserve">Source : </w:t>
      </w:r>
      <w:hyperlink r:id="rId8" w:history="1">
        <w:r w:rsidRPr="002B055A">
          <w:rPr>
            <w:rStyle w:val="Lienhypertexte"/>
          </w:rPr>
          <w:t>https://info.haas-avocats.com</w:t>
        </w:r>
      </w:hyperlink>
      <w:r w:rsidRPr="002B055A">
        <w:t xml:space="preserve"> </w:t>
      </w:r>
    </w:p>
    <w:p w14:paraId="57D93C65" w14:textId="0D7F309C" w:rsidR="00186F7F" w:rsidRPr="00333474" w:rsidRDefault="00186F7F" w:rsidP="00186F7F">
      <w:pPr>
        <w:jc w:val="both"/>
        <w:rPr>
          <w:b/>
          <w:bCs/>
          <w:color w:val="FF0000"/>
        </w:rPr>
      </w:pPr>
      <w:r w:rsidRPr="00333474">
        <w:rPr>
          <w:b/>
          <w:bCs/>
          <w:color w:val="FF0000"/>
        </w:rPr>
        <w:t xml:space="preserve">DOCUMENT 2 – </w:t>
      </w:r>
      <w:r w:rsidRPr="00333474">
        <w:rPr>
          <w:b/>
          <w:bCs/>
          <w:color w:val="FF0000"/>
        </w:rPr>
        <w:t>DGCCRF</w:t>
      </w:r>
      <w:r w:rsidRPr="00333474">
        <w:rPr>
          <w:b/>
          <w:bCs/>
          <w:color w:val="FF0000"/>
        </w:rPr>
        <w:t>, quelles sont ses missions ?</w:t>
      </w:r>
    </w:p>
    <w:p w14:paraId="77EED1F1" w14:textId="73CC12A4" w:rsidR="00186F7F" w:rsidRDefault="00186F7F" w:rsidP="00186F7F">
      <w:pPr>
        <w:jc w:val="both"/>
      </w:pPr>
      <w:r w:rsidRPr="00186F7F">
        <w:t>Hôtellerie-restauration mais aussi commerce et e-commerce, artisanat ou encore industrie agroalimentaire</w:t>
      </w:r>
      <w:r w:rsidR="00B172B7">
        <w:t xml:space="preserve">, </w:t>
      </w:r>
      <w:r w:rsidRPr="00186F7F">
        <w:t xml:space="preserve">aucun secteur et aucune entreprise n'est à l'abri d'un contrôle de la DGCCRF (Direction Générale de la Concurrence, de la Consommation et de la Répression des Fraudes). </w:t>
      </w:r>
      <w:r>
        <w:t>L</w:t>
      </w:r>
      <w:r w:rsidRPr="00186F7F">
        <w:t>a DGCCRF surveille les pratiques des professionnels entre eux</w:t>
      </w:r>
      <w:r>
        <w:t xml:space="preserve"> notamment pour faire respecter la libre concurrence. Elle intervient également auprès </w:t>
      </w:r>
      <w:r w:rsidRPr="00186F7F">
        <w:t>des consommateurs</w:t>
      </w:r>
      <w:r>
        <w:t xml:space="preserve"> afin de les protéger dans leurs actes d’achat</w:t>
      </w:r>
      <w:r w:rsidRPr="00186F7F">
        <w:t>.</w:t>
      </w:r>
      <w:r>
        <w:t xml:space="preserve"> </w:t>
      </w:r>
    </w:p>
    <w:p w14:paraId="478217C6" w14:textId="3883CDDA" w:rsidR="00186F7F" w:rsidRPr="00186F7F" w:rsidRDefault="00186F7F" w:rsidP="00186F7F">
      <w:pPr>
        <w:jc w:val="both"/>
      </w:pPr>
      <w:r w:rsidRPr="00186F7F">
        <w:t>Et ce sont les commerçants, particulièrement les e-commerçants, qui sont la première cible des signalements de consommateurs à la DGCCRF (107 250 signalements en 2022). Le démarchage téléphonique abusif figure lui en 2ème place des signalements des consommateurs.</w:t>
      </w:r>
      <w:r>
        <w:t xml:space="preserve"> </w:t>
      </w:r>
    </w:p>
    <w:p w14:paraId="15AF5175" w14:textId="0C0B3FFD" w:rsidR="00186F7F" w:rsidRDefault="00333474" w:rsidP="00186F7F">
      <w:pPr>
        <w:jc w:val="both"/>
      </w:pPr>
      <w:r>
        <w:t xml:space="preserve">Source : </w:t>
      </w:r>
      <w:hyperlink r:id="rId9" w:history="1">
        <w:r w:rsidRPr="0059211C">
          <w:rPr>
            <w:rStyle w:val="Lienhypertexte"/>
          </w:rPr>
          <w:t>https://pro.orange.fr</w:t>
        </w:r>
      </w:hyperlink>
      <w:r>
        <w:t xml:space="preserve"> </w:t>
      </w:r>
      <w:r w:rsidRPr="00333474">
        <w:t xml:space="preserve"> 25/03/2024</w:t>
      </w:r>
    </w:p>
    <w:p w14:paraId="247289C1" w14:textId="7E38D5EB" w:rsidR="00333474" w:rsidRPr="00333474" w:rsidRDefault="00333474" w:rsidP="00186F7F">
      <w:pPr>
        <w:jc w:val="both"/>
        <w:rPr>
          <w:b/>
          <w:bCs/>
          <w:color w:val="FF0000"/>
        </w:rPr>
      </w:pPr>
      <w:r w:rsidRPr="00333474">
        <w:rPr>
          <w:b/>
          <w:bCs/>
          <w:color w:val="FF0000"/>
        </w:rPr>
        <w:t xml:space="preserve">DOCUMENT 3 </w:t>
      </w:r>
    </w:p>
    <w:p w14:paraId="208C16FD" w14:textId="657388B0" w:rsidR="00333474" w:rsidRDefault="00B41958" w:rsidP="00186F7F">
      <w:pPr>
        <w:jc w:val="both"/>
      </w:pPr>
      <w:r w:rsidRPr="00333474"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0E9742F" wp14:editId="2C8FB6CF">
            <wp:simplePos x="0" y="0"/>
            <wp:positionH relativeFrom="column">
              <wp:posOffset>2196465</wp:posOffset>
            </wp:positionH>
            <wp:positionV relativeFrom="paragraph">
              <wp:posOffset>82349</wp:posOffset>
            </wp:positionV>
            <wp:extent cx="3980736" cy="3105150"/>
            <wp:effectExtent l="0" t="0" r="1270" b="0"/>
            <wp:wrapNone/>
            <wp:docPr id="16156395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736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F41B3" wp14:editId="5779008B">
                <wp:simplePos x="0" y="0"/>
                <wp:positionH relativeFrom="column">
                  <wp:posOffset>-297180</wp:posOffset>
                </wp:positionH>
                <wp:positionV relativeFrom="paragraph">
                  <wp:posOffset>81915</wp:posOffset>
                </wp:positionV>
                <wp:extent cx="2279650" cy="1397000"/>
                <wp:effectExtent l="0" t="0" r="25400" b="12700"/>
                <wp:wrapNone/>
                <wp:docPr id="9061812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AE846" w14:textId="63D2B8BA" w:rsidR="00B41958" w:rsidRDefault="00B41958" w:rsidP="00B41958">
                            <w:pPr>
                              <w:jc w:val="both"/>
                            </w:pPr>
                            <w:r w:rsidRPr="00B41958">
                              <w:t>En France, le champagne comme le vin font l'objet d'une réglementation très stricte permettant d'assurer la traçabilité des produits. Les étiquettes sont une source d'informations précieuse pour le consommateur.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41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3.4pt;margin-top:6.45pt;width:179.5pt;height:1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" fillcolor="white [3201]" strokeweight=".5pt">
                <v:textbox>
                  <w:txbxContent>
                    <w:p w14:paraId="36EAE846" w14:textId="63D2B8BA" w:rsidR="00B41958" w:rsidRDefault="00B41958" w:rsidP="00B41958">
                      <w:pPr>
                        <w:jc w:val="both"/>
                      </w:pPr>
                      <w:r w:rsidRPr="00B41958">
                        <w:t>En France, le champagne comme le vin font l'objet d'une réglementation très stricte permettant d'assurer la traçabilité des produits. Les étiquettes sont une source d'informations précieuse pour le consommateur.</w:t>
                      </w:r>
                    </w:p>
                  </w:txbxContent>
                </v:textbox>
              </v:shape>
            </w:pict>
          </mc:Fallback>
        </mc:AlternateContent>
      </w:r>
    </w:p>
    <w:p w14:paraId="69299B88" w14:textId="374FF2F0" w:rsidR="00333474" w:rsidRDefault="00333474" w:rsidP="00186F7F">
      <w:pPr>
        <w:jc w:val="both"/>
      </w:pPr>
    </w:p>
    <w:p w14:paraId="582BC932" w14:textId="098FC3C3" w:rsidR="00333474" w:rsidRDefault="00333474" w:rsidP="00186F7F">
      <w:pPr>
        <w:jc w:val="both"/>
      </w:pPr>
    </w:p>
    <w:p w14:paraId="7F34D3C4" w14:textId="77777777" w:rsidR="00333474" w:rsidRDefault="00333474" w:rsidP="00186F7F">
      <w:pPr>
        <w:jc w:val="both"/>
      </w:pPr>
    </w:p>
    <w:p w14:paraId="131A7BAA" w14:textId="712617AB" w:rsidR="00333474" w:rsidRDefault="00333474" w:rsidP="00186F7F">
      <w:pPr>
        <w:jc w:val="both"/>
      </w:pPr>
    </w:p>
    <w:p w14:paraId="782CAE12" w14:textId="77777777" w:rsidR="00333474" w:rsidRDefault="00333474" w:rsidP="00186F7F">
      <w:pPr>
        <w:jc w:val="both"/>
      </w:pPr>
    </w:p>
    <w:p w14:paraId="6F773FE3" w14:textId="49AE7F21" w:rsidR="00333474" w:rsidRDefault="00333474" w:rsidP="00186F7F">
      <w:pPr>
        <w:jc w:val="both"/>
      </w:pPr>
    </w:p>
    <w:p w14:paraId="02025ECF" w14:textId="6A86CB8A" w:rsidR="00333474" w:rsidRDefault="00333474" w:rsidP="00186F7F">
      <w:pPr>
        <w:jc w:val="both"/>
      </w:pPr>
    </w:p>
    <w:p w14:paraId="67A81900" w14:textId="195E3530" w:rsidR="00333474" w:rsidRPr="002B055A" w:rsidRDefault="00333474" w:rsidP="00186F7F">
      <w:pPr>
        <w:jc w:val="both"/>
      </w:pPr>
    </w:p>
    <w:sectPr w:rsidR="00333474" w:rsidRPr="002B055A" w:rsidSect="002B055A"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29066" w14:textId="77777777" w:rsidR="003A19B2" w:rsidRDefault="003A19B2" w:rsidP="00BB3BBA">
      <w:pPr>
        <w:spacing w:after="0" w:line="240" w:lineRule="auto"/>
      </w:pPr>
      <w:r>
        <w:separator/>
      </w:r>
    </w:p>
  </w:endnote>
  <w:endnote w:type="continuationSeparator" w:id="0">
    <w:p w14:paraId="6F032635" w14:textId="77777777" w:rsidR="003A19B2" w:rsidRDefault="003A19B2" w:rsidP="00BB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1EE0" w14:textId="619BFA65" w:rsidR="00BB3BBA" w:rsidRDefault="00BB3BBA">
    <w:pPr>
      <w:pStyle w:val="Pieddepage"/>
      <w:jc w:val="right"/>
    </w:pPr>
    <w:r>
      <w:rPr>
        <w:color w:val="4472C4" w:themeColor="accent1"/>
        <w:sz w:val="20"/>
        <w:szCs w:val="20"/>
      </w:rPr>
      <w:t xml:space="preserve">TCAP OL – ECONOMIE – DROIT – DOSSIER 3 – EVALUATION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61ED081" w14:textId="77777777" w:rsidR="00BB3BBA" w:rsidRDefault="00BB3B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017A" w14:textId="77777777" w:rsidR="003A19B2" w:rsidRDefault="003A19B2" w:rsidP="00BB3BBA">
      <w:pPr>
        <w:spacing w:after="0" w:line="240" w:lineRule="auto"/>
      </w:pPr>
      <w:r>
        <w:separator/>
      </w:r>
    </w:p>
  </w:footnote>
  <w:footnote w:type="continuationSeparator" w:id="0">
    <w:p w14:paraId="6B8C0C00" w14:textId="77777777" w:rsidR="003A19B2" w:rsidRDefault="003A19B2" w:rsidP="00BB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4AA8"/>
    <w:multiLevelType w:val="hybridMultilevel"/>
    <w:tmpl w:val="DBE8CDFA"/>
    <w:lvl w:ilvl="0" w:tplc="797E45F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24162"/>
    <w:multiLevelType w:val="hybridMultilevel"/>
    <w:tmpl w:val="A5CE5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92FBB"/>
    <w:multiLevelType w:val="hybridMultilevel"/>
    <w:tmpl w:val="AFE806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162C"/>
    <w:multiLevelType w:val="hybridMultilevel"/>
    <w:tmpl w:val="8140D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577737">
    <w:abstractNumId w:val="3"/>
  </w:num>
  <w:num w:numId="2" w16cid:durableId="1734893025">
    <w:abstractNumId w:val="1"/>
  </w:num>
  <w:num w:numId="3" w16cid:durableId="1809735499">
    <w:abstractNumId w:val="0"/>
  </w:num>
  <w:num w:numId="4" w16cid:durableId="194256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A"/>
    <w:rsid w:val="00186F7F"/>
    <w:rsid w:val="002B055A"/>
    <w:rsid w:val="00333474"/>
    <w:rsid w:val="00343CF1"/>
    <w:rsid w:val="003727B2"/>
    <w:rsid w:val="003A19B2"/>
    <w:rsid w:val="00673FD2"/>
    <w:rsid w:val="00B172B7"/>
    <w:rsid w:val="00B41958"/>
    <w:rsid w:val="00BB3BBA"/>
    <w:rsid w:val="00C37D02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9BB3"/>
  <w15:chartTrackingRefBased/>
  <w15:docId w15:val="{35A2AAF1-AB17-4813-8F31-F439CFD3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5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86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5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05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055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86F7F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B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BBA"/>
    <w:rPr>
      <w:rFonts w:ascii="Calibri" w:eastAsia="Calibri" w:hAnsi="Calibri" w:cs="Times New Roman"/>
      <w:kern w:val="3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B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BBA"/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haas-avoca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ro.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2</cp:revision>
  <dcterms:created xsi:type="dcterms:W3CDTF">2024-09-25T04:52:00Z</dcterms:created>
  <dcterms:modified xsi:type="dcterms:W3CDTF">2024-09-25T04:52:00Z</dcterms:modified>
</cp:coreProperties>
</file>